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2773" w:rsidRDefault="000C2773" w:rsidP="000C2773">
      <w:pPr>
        <w:pStyle w:val="a3"/>
      </w:pPr>
      <w:r w:rsidRPr="00A84460">
        <w:t>Пояснительная записка</w:t>
      </w:r>
      <w:r w:rsidRPr="00A84460">
        <w:br/>
        <w:t xml:space="preserve">к определению схемы одномандатных избирательных </w:t>
      </w:r>
    </w:p>
    <w:p w:rsidR="000C2773" w:rsidRPr="000C2773" w:rsidRDefault="000C2773" w:rsidP="000C2773">
      <w:pPr>
        <w:pStyle w:val="a3"/>
      </w:pPr>
      <w:r>
        <w:t>о</w:t>
      </w:r>
      <w:r w:rsidRPr="00A84460">
        <w:t>кругов</w:t>
      </w:r>
      <w:r>
        <w:t xml:space="preserve"> </w:t>
      </w:r>
      <w:r w:rsidRPr="00A84460">
        <w:t xml:space="preserve">для проведения выборов депутатов </w:t>
      </w:r>
      <w:r w:rsidRPr="00A84460">
        <w:br/>
        <w:t xml:space="preserve">Совета </w:t>
      </w:r>
      <w:r w:rsidR="000C445C">
        <w:t xml:space="preserve">Муезерского </w:t>
      </w:r>
      <w:r>
        <w:t>муниципального округа</w:t>
      </w:r>
    </w:p>
    <w:p w:rsidR="000C2773" w:rsidRDefault="000C2773" w:rsidP="000C2773">
      <w:pPr>
        <w:rPr>
          <w:sz w:val="28"/>
        </w:rPr>
      </w:pPr>
    </w:p>
    <w:p w:rsidR="000C2773" w:rsidRPr="002E0AA7" w:rsidRDefault="000C2773" w:rsidP="000C2773">
      <w:pPr>
        <w:pStyle w:val="1"/>
        <w:spacing w:line="360" w:lineRule="auto"/>
        <w:ind w:firstLine="360"/>
        <w:jc w:val="both"/>
        <w:rPr>
          <w:szCs w:val="28"/>
        </w:rPr>
      </w:pPr>
      <w:r>
        <w:rPr>
          <w:szCs w:val="28"/>
        </w:rPr>
        <w:t>С</w:t>
      </w:r>
      <w:r w:rsidRPr="006F03DB">
        <w:rPr>
          <w:szCs w:val="28"/>
        </w:rPr>
        <w:t>хема одномандатных избирательных округов</w:t>
      </w:r>
      <w:r w:rsidRPr="00ED1028">
        <w:rPr>
          <w:szCs w:val="28"/>
        </w:rPr>
        <w:t xml:space="preserve"> </w:t>
      </w:r>
      <w:r w:rsidRPr="002E0AA7">
        <w:rPr>
          <w:szCs w:val="28"/>
        </w:rPr>
        <w:t xml:space="preserve">определена </w:t>
      </w:r>
      <w:r>
        <w:rPr>
          <w:szCs w:val="28"/>
        </w:rPr>
        <w:t>с учетом положений статьи 18</w:t>
      </w:r>
      <w:r w:rsidRPr="00A7416B">
        <w:t xml:space="preserve"> </w:t>
      </w:r>
      <w:r w:rsidRPr="00462A9A">
        <w:t>Федерального закона от 12 июля 2002 года №</w:t>
      </w:r>
      <w:r>
        <w:t xml:space="preserve"> </w:t>
      </w:r>
      <w:r w:rsidRPr="00462A9A">
        <w:t xml:space="preserve">67-ФЗ </w:t>
      </w:r>
      <w:r>
        <w:t>«</w:t>
      </w:r>
      <w:r w:rsidRPr="00462A9A">
        <w:t>Об основных гарантиях избирательных прав и права на участие в референдуме граждан Российской Федерации</w:t>
      </w:r>
      <w:r>
        <w:t>», статьи 9 закона Республики Карелия от 27 июня 2003 года № 683-ЗРК «О муниципальных выборах в Республике Карелия»</w:t>
      </w:r>
      <w:r w:rsidR="003F14F5">
        <w:t>,</w:t>
      </w:r>
      <w:r w:rsidR="00C62E3C">
        <w:t xml:space="preserve"> закона Республики Карелия от </w:t>
      </w:r>
      <w:r w:rsidR="00C62E3C" w:rsidRPr="00307534">
        <w:t>5 июня 2006 года</w:t>
      </w:r>
      <w:r w:rsidR="00C62E3C">
        <w:t xml:space="preserve"> №</w:t>
      </w:r>
      <w:r w:rsidR="00C62E3C" w:rsidRPr="00307534">
        <w:t>989-ЗРК</w:t>
      </w:r>
      <w:r w:rsidR="00C62E3C">
        <w:t xml:space="preserve"> «</w:t>
      </w:r>
      <w:r w:rsidR="00C62E3C" w:rsidRPr="00307534">
        <w:t>О перечне труднодоступных и отдаленных</w:t>
      </w:r>
      <w:r w:rsidR="00C62E3C">
        <w:t xml:space="preserve"> </w:t>
      </w:r>
      <w:r w:rsidR="00C62E3C" w:rsidRPr="00307534">
        <w:t>местностей в Республике Карелия</w:t>
      </w:r>
      <w:r w:rsidR="00C62E3C">
        <w:t xml:space="preserve">» и закона Республики Карелия </w:t>
      </w:r>
      <w:r w:rsidR="00F43780">
        <w:t>от 21 апреля 2025 года № 30</w:t>
      </w:r>
      <w:r w:rsidR="000C445C" w:rsidRPr="000C445C">
        <w:t>50</w:t>
      </w:r>
      <w:r w:rsidR="00F43780">
        <w:t xml:space="preserve">-ЗРК </w:t>
      </w:r>
      <w:r w:rsidR="00C62E3C">
        <w:t>«</w:t>
      </w:r>
      <w:r w:rsidR="000C445C" w:rsidRPr="005F1183">
        <w:t xml:space="preserve">О преобразовании всех поселений, входящих в состав муниципального образования </w:t>
      </w:r>
      <w:r w:rsidR="00DA5ABC">
        <w:t>«</w:t>
      </w:r>
      <w:r w:rsidR="000C445C" w:rsidRPr="005F1183">
        <w:t>Муезерский муниципальный район Республики Карелия</w:t>
      </w:r>
      <w:r w:rsidR="00DA5ABC">
        <w:t>»</w:t>
      </w:r>
      <w:r w:rsidR="000C445C" w:rsidRPr="005F1183">
        <w:t>, путем их объединения и наделении вновь образованного муниципального образования статусом муниципального округа</w:t>
      </w:r>
      <w:r w:rsidR="00C62E3C">
        <w:t>» (далее закон Республики Карелия).</w:t>
      </w:r>
    </w:p>
    <w:p w:rsidR="00FD3BE0" w:rsidRPr="00FF2ABB" w:rsidRDefault="00FD3BE0" w:rsidP="00FD3BE0">
      <w:pPr>
        <w:pStyle w:val="aa"/>
        <w:spacing w:line="360" w:lineRule="auto"/>
        <w:rPr>
          <w:szCs w:val="28"/>
        </w:rPr>
      </w:pPr>
      <w:r w:rsidRPr="00FF2ABB">
        <w:rPr>
          <w:szCs w:val="28"/>
        </w:rPr>
        <w:t xml:space="preserve">Средняя норма представительства избирателей </w:t>
      </w:r>
      <w:r w:rsidR="00C62E3C">
        <w:rPr>
          <w:szCs w:val="28"/>
        </w:rPr>
        <w:t>на</w:t>
      </w:r>
      <w:r w:rsidRPr="00FF2ABB">
        <w:rPr>
          <w:szCs w:val="28"/>
        </w:rPr>
        <w:t xml:space="preserve"> одномандатн</w:t>
      </w:r>
      <w:r w:rsidR="00C62E3C">
        <w:rPr>
          <w:szCs w:val="28"/>
        </w:rPr>
        <w:t>ый</w:t>
      </w:r>
      <w:r w:rsidRPr="00FF2ABB">
        <w:rPr>
          <w:szCs w:val="28"/>
        </w:rPr>
        <w:t xml:space="preserve"> избирательн</w:t>
      </w:r>
      <w:r w:rsidR="00C62E3C">
        <w:rPr>
          <w:szCs w:val="28"/>
        </w:rPr>
        <w:t>ый</w:t>
      </w:r>
      <w:r w:rsidRPr="00FF2ABB">
        <w:rPr>
          <w:szCs w:val="28"/>
        </w:rPr>
        <w:t xml:space="preserve"> округ определяется как частное от деления общего числа избирателей, зарегистрированных на территории </w:t>
      </w:r>
      <w:r w:rsidR="000C445C">
        <w:rPr>
          <w:szCs w:val="28"/>
        </w:rPr>
        <w:t xml:space="preserve">Муезерского </w:t>
      </w:r>
      <w:r w:rsidRPr="0040610A">
        <w:rPr>
          <w:szCs w:val="28"/>
        </w:rPr>
        <w:t>муниципальног</w:t>
      </w:r>
      <w:r>
        <w:rPr>
          <w:szCs w:val="28"/>
        </w:rPr>
        <w:t xml:space="preserve">о района </w:t>
      </w:r>
      <w:r w:rsidRPr="00FF2ABB">
        <w:rPr>
          <w:szCs w:val="28"/>
        </w:rPr>
        <w:t xml:space="preserve">по состоянию на 1 </w:t>
      </w:r>
      <w:r>
        <w:rPr>
          <w:szCs w:val="28"/>
        </w:rPr>
        <w:t>января</w:t>
      </w:r>
      <w:r w:rsidRPr="00FF2ABB">
        <w:rPr>
          <w:szCs w:val="28"/>
        </w:rPr>
        <w:t xml:space="preserve"> 202</w:t>
      </w:r>
      <w:r w:rsidR="00420EA5">
        <w:rPr>
          <w:szCs w:val="28"/>
        </w:rPr>
        <w:t>5</w:t>
      </w:r>
      <w:r w:rsidRPr="00FF2ABB">
        <w:rPr>
          <w:szCs w:val="28"/>
        </w:rPr>
        <w:t xml:space="preserve"> года </w:t>
      </w:r>
      <w:r w:rsidR="00C62E3C">
        <w:rPr>
          <w:szCs w:val="28"/>
        </w:rPr>
        <w:t>–</w:t>
      </w:r>
      <w:r>
        <w:rPr>
          <w:szCs w:val="28"/>
        </w:rPr>
        <w:t xml:space="preserve"> </w:t>
      </w:r>
      <w:r w:rsidR="000C445C" w:rsidRPr="000C445C">
        <w:rPr>
          <w:szCs w:val="28"/>
        </w:rPr>
        <w:t>9078</w:t>
      </w:r>
      <w:r w:rsidR="00F61441">
        <w:rPr>
          <w:szCs w:val="28"/>
        </w:rPr>
        <w:t xml:space="preserve"> </w:t>
      </w:r>
      <w:r w:rsidRPr="00FF2ABB">
        <w:rPr>
          <w:szCs w:val="28"/>
        </w:rPr>
        <w:t>избирателей</w:t>
      </w:r>
      <w:r>
        <w:rPr>
          <w:szCs w:val="28"/>
        </w:rPr>
        <w:t>,</w:t>
      </w:r>
      <w:r w:rsidRPr="00FF2ABB">
        <w:rPr>
          <w:szCs w:val="28"/>
        </w:rPr>
        <w:t xml:space="preserve"> на </w:t>
      </w:r>
      <w:r>
        <w:rPr>
          <w:szCs w:val="28"/>
        </w:rPr>
        <w:t>количество</w:t>
      </w:r>
      <w:r w:rsidRPr="00FF2ABB">
        <w:rPr>
          <w:szCs w:val="28"/>
        </w:rPr>
        <w:t xml:space="preserve"> </w:t>
      </w:r>
      <w:r>
        <w:rPr>
          <w:szCs w:val="28"/>
        </w:rPr>
        <w:t>депутатских мандатов</w:t>
      </w:r>
      <w:r w:rsidRPr="00FF2ABB">
        <w:rPr>
          <w:szCs w:val="28"/>
        </w:rPr>
        <w:t xml:space="preserve"> </w:t>
      </w:r>
      <w:r w:rsidR="00C62E3C">
        <w:rPr>
          <w:szCs w:val="28"/>
        </w:rPr>
        <w:t>–</w:t>
      </w:r>
      <w:r>
        <w:rPr>
          <w:szCs w:val="28"/>
        </w:rPr>
        <w:t xml:space="preserve"> </w:t>
      </w:r>
      <w:r w:rsidR="00420EA5">
        <w:rPr>
          <w:szCs w:val="28"/>
        </w:rPr>
        <w:t>1</w:t>
      </w:r>
      <w:r w:rsidR="000C445C" w:rsidRPr="000C445C">
        <w:rPr>
          <w:szCs w:val="28"/>
        </w:rPr>
        <w:t>1</w:t>
      </w:r>
      <w:r w:rsidR="00C62E3C">
        <w:rPr>
          <w:szCs w:val="28"/>
        </w:rPr>
        <w:t xml:space="preserve"> (установлено </w:t>
      </w:r>
      <w:r w:rsidR="00C62E3C">
        <w:t>законом Республики Карелия)</w:t>
      </w:r>
      <w:r w:rsidR="00C62E3C" w:rsidRPr="00FF2ABB">
        <w:rPr>
          <w:szCs w:val="28"/>
        </w:rPr>
        <w:t>,</w:t>
      </w:r>
      <w:r w:rsidRPr="00FF2ABB">
        <w:rPr>
          <w:szCs w:val="28"/>
        </w:rPr>
        <w:t xml:space="preserve"> округленное до ближайшего целого числа. Таким образом, в результате выполнения указанных действий средняя норма представительства избирателей на один избирательный округ составляет </w:t>
      </w:r>
      <w:r w:rsidR="000C445C" w:rsidRPr="000C445C">
        <w:rPr>
          <w:szCs w:val="28"/>
        </w:rPr>
        <w:t>825</w:t>
      </w:r>
      <w:r w:rsidR="00F61441">
        <w:rPr>
          <w:szCs w:val="28"/>
        </w:rPr>
        <w:t xml:space="preserve"> </w:t>
      </w:r>
      <w:r>
        <w:rPr>
          <w:szCs w:val="28"/>
        </w:rPr>
        <w:t>избирателей</w:t>
      </w:r>
      <w:r w:rsidRPr="00FF2ABB">
        <w:rPr>
          <w:szCs w:val="28"/>
        </w:rPr>
        <w:t>.</w:t>
      </w:r>
    </w:p>
    <w:p w:rsidR="000C2773" w:rsidRDefault="000C2773" w:rsidP="000C2773">
      <w:pPr>
        <w:spacing w:after="120" w:line="360" w:lineRule="auto"/>
        <w:ind w:firstLine="426"/>
        <w:jc w:val="both"/>
        <w:rPr>
          <w:sz w:val="28"/>
          <w:szCs w:val="28"/>
        </w:rPr>
      </w:pPr>
      <w:r w:rsidRPr="00027E2F">
        <w:rPr>
          <w:sz w:val="28"/>
          <w:szCs w:val="28"/>
        </w:rPr>
        <w:t xml:space="preserve">Отклонение от средней нормы представительства рассчитывается по нижеприведенной формуле, после чего полученное значение округляется до второго знака после запятой. Положительное значение отклонения от средней нормы означает отклонение в большую сторону, отрицательное значение – в меньшую. </w:t>
      </w:r>
    </w:p>
    <w:p w:rsidR="001739AD" w:rsidRDefault="001739AD" w:rsidP="000C2773">
      <w:pPr>
        <w:spacing w:after="120" w:line="360" w:lineRule="auto"/>
        <w:ind w:firstLine="426"/>
        <w:jc w:val="both"/>
        <w:rPr>
          <w:sz w:val="28"/>
          <w:szCs w:val="28"/>
        </w:rPr>
      </w:pPr>
    </w:p>
    <w:p w:rsidR="001739AD" w:rsidRDefault="001739AD" w:rsidP="000C2773">
      <w:pPr>
        <w:spacing w:after="120" w:line="360" w:lineRule="auto"/>
        <w:ind w:firstLine="426"/>
        <w:jc w:val="both"/>
        <w:rPr>
          <w:sz w:val="28"/>
          <w:szCs w:val="28"/>
        </w:rPr>
      </w:pPr>
    </w:p>
    <w:tbl>
      <w:tblPr>
        <w:tblW w:w="9153" w:type="dxa"/>
        <w:jc w:val="center"/>
        <w:tblInd w:w="151" w:type="dxa"/>
        <w:tblLook w:val="04A0"/>
      </w:tblPr>
      <w:tblGrid>
        <w:gridCol w:w="2443"/>
        <w:gridCol w:w="480"/>
        <w:gridCol w:w="4883"/>
        <w:gridCol w:w="1347"/>
      </w:tblGrid>
      <w:tr w:rsidR="000C2773" w:rsidRPr="00C62E3C" w:rsidTr="00C62E3C">
        <w:trPr>
          <w:trHeight w:val="446"/>
          <w:jc w:val="center"/>
        </w:trPr>
        <w:tc>
          <w:tcPr>
            <w:tcW w:w="2443" w:type="dxa"/>
            <w:vMerge w:val="restart"/>
            <w:vAlign w:val="center"/>
          </w:tcPr>
          <w:p w:rsidR="000C2773" w:rsidRPr="00C62E3C" w:rsidRDefault="000C2773" w:rsidP="00D75F37">
            <w:pPr>
              <w:rPr>
                <w:sz w:val="28"/>
                <w:szCs w:val="28"/>
              </w:rPr>
            </w:pPr>
            <w:r w:rsidRPr="00C62E3C">
              <w:rPr>
                <w:sz w:val="28"/>
                <w:szCs w:val="28"/>
              </w:rPr>
              <w:t>Отклонение от средней нормы представительства</w:t>
            </w:r>
          </w:p>
        </w:tc>
        <w:tc>
          <w:tcPr>
            <w:tcW w:w="480" w:type="dxa"/>
            <w:vMerge w:val="restart"/>
            <w:vAlign w:val="center"/>
          </w:tcPr>
          <w:p w:rsidR="000C2773" w:rsidRPr="00C62E3C" w:rsidRDefault="000C2773" w:rsidP="00D75F37">
            <w:pPr>
              <w:rPr>
                <w:sz w:val="28"/>
                <w:szCs w:val="28"/>
              </w:rPr>
            </w:pPr>
            <w:r w:rsidRPr="00C62E3C">
              <w:rPr>
                <w:sz w:val="28"/>
                <w:szCs w:val="28"/>
              </w:rPr>
              <w:t>=</w:t>
            </w:r>
          </w:p>
        </w:tc>
        <w:tc>
          <w:tcPr>
            <w:tcW w:w="4883" w:type="dxa"/>
            <w:tcBorders>
              <w:bottom w:val="single" w:sz="4" w:space="0" w:color="auto"/>
            </w:tcBorders>
            <w:vAlign w:val="center"/>
          </w:tcPr>
          <w:p w:rsidR="000C2773" w:rsidRPr="00C62E3C" w:rsidRDefault="000C2773" w:rsidP="00C62E3C">
            <w:pPr>
              <w:jc w:val="center"/>
              <w:rPr>
                <w:sz w:val="28"/>
                <w:szCs w:val="28"/>
              </w:rPr>
            </w:pPr>
            <w:r w:rsidRPr="00C62E3C">
              <w:rPr>
                <w:sz w:val="28"/>
                <w:szCs w:val="28"/>
              </w:rPr>
              <w:t xml:space="preserve">число избирателей в округе </w:t>
            </w:r>
            <w:r w:rsidR="00C62E3C">
              <w:rPr>
                <w:sz w:val="28"/>
                <w:szCs w:val="28"/>
              </w:rPr>
              <w:t>–</w:t>
            </w:r>
            <w:r w:rsidRPr="00C62E3C">
              <w:rPr>
                <w:sz w:val="28"/>
                <w:szCs w:val="28"/>
              </w:rPr>
              <w:t xml:space="preserve"> средняя</w:t>
            </w:r>
            <w:r w:rsidR="00C62E3C">
              <w:rPr>
                <w:sz w:val="28"/>
                <w:szCs w:val="28"/>
              </w:rPr>
              <w:t> </w:t>
            </w:r>
            <w:r w:rsidRPr="00C62E3C">
              <w:rPr>
                <w:sz w:val="28"/>
                <w:szCs w:val="28"/>
              </w:rPr>
              <w:t>норма</w:t>
            </w:r>
          </w:p>
        </w:tc>
        <w:tc>
          <w:tcPr>
            <w:tcW w:w="1347" w:type="dxa"/>
            <w:vMerge w:val="restart"/>
            <w:vAlign w:val="center"/>
          </w:tcPr>
          <w:p w:rsidR="000C2773" w:rsidRPr="00C62E3C" w:rsidRDefault="000C2773" w:rsidP="00D75F37">
            <w:pPr>
              <w:rPr>
                <w:sz w:val="28"/>
                <w:szCs w:val="28"/>
              </w:rPr>
            </w:pPr>
            <w:r w:rsidRPr="00C62E3C">
              <w:rPr>
                <w:sz w:val="28"/>
                <w:szCs w:val="28"/>
                <w:lang w:val="en-US"/>
              </w:rPr>
              <w:t>* 100</w:t>
            </w:r>
            <w:r w:rsidR="00C62E3C">
              <w:rPr>
                <w:sz w:val="28"/>
                <w:szCs w:val="28"/>
              </w:rPr>
              <w:t>%</w:t>
            </w:r>
          </w:p>
        </w:tc>
      </w:tr>
      <w:tr w:rsidR="000C2773" w:rsidRPr="00C62E3C" w:rsidTr="00C62E3C">
        <w:trPr>
          <w:trHeight w:val="153"/>
          <w:jc w:val="center"/>
        </w:trPr>
        <w:tc>
          <w:tcPr>
            <w:tcW w:w="2443" w:type="dxa"/>
            <w:vMerge/>
          </w:tcPr>
          <w:p w:rsidR="000C2773" w:rsidRPr="00C62E3C" w:rsidRDefault="000C2773" w:rsidP="00D75F37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0" w:type="dxa"/>
            <w:vMerge/>
          </w:tcPr>
          <w:p w:rsidR="000C2773" w:rsidRPr="00C62E3C" w:rsidRDefault="000C2773" w:rsidP="00D75F37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4883" w:type="dxa"/>
            <w:tcBorders>
              <w:top w:val="single" w:sz="4" w:space="0" w:color="auto"/>
            </w:tcBorders>
          </w:tcPr>
          <w:p w:rsidR="000C2773" w:rsidRPr="00C62E3C" w:rsidRDefault="000C2773" w:rsidP="00C62E3C">
            <w:pPr>
              <w:spacing w:after="120" w:line="360" w:lineRule="auto"/>
              <w:jc w:val="center"/>
              <w:rPr>
                <w:sz w:val="28"/>
                <w:szCs w:val="28"/>
              </w:rPr>
            </w:pPr>
            <w:r w:rsidRPr="00C62E3C">
              <w:rPr>
                <w:sz w:val="28"/>
                <w:szCs w:val="28"/>
              </w:rPr>
              <w:t>средняя</w:t>
            </w:r>
            <w:r w:rsidR="00C62E3C">
              <w:rPr>
                <w:sz w:val="28"/>
                <w:szCs w:val="28"/>
              </w:rPr>
              <w:t> </w:t>
            </w:r>
            <w:r w:rsidRPr="00C62E3C">
              <w:rPr>
                <w:sz w:val="28"/>
                <w:szCs w:val="28"/>
              </w:rPr>
              <w:t>норма</w:t>
            </w:r>
          </w:p>
        </w:tc>
        <w:tc>
          <w:tcPr>
            <w:tcW w:w="1347" w:type="dxa"/>
            <w:vMerge/>
          </w:tcPr>
          <w:p w:rsidR="000C2773" w:rsidRPr="00C62E3C" w:rsidRDefault="000C2773" w:rsidP="00D75F37">
            <w:pPr>
              <w:spacing w:after="120" w:line="360" w:lineRule="auto"/>
              <w:jc w:val="both"/>
              <w:rPr>
                <w:sz w:val="28"/>
                <w:szCs w:val="28"/>
              </w:rPr>
            </w:pPr>
          </w:p>
        </w:tc>
      </w:tr>
    </w:tbl>
    <w:p w:rsidR="000C2773" w:rsidRDefault="000C2773" w:rsidP="000C2773">
      <w:pPr>
        <w:spacing w:line="360" w:lineRule="auto"/>
        <w:ind w:firstLine="426"/>
        <w:jc w:val="both"/>
        <w:rPr>
          <w:sz w:val="28"/>
        </w:rPr>
      </w:pPr>
    </w:p>
    <w:p w:rsidR="003C15A5" w:rsidRDefault="003C15A5" w:rsidP="003C15A5">
      <w:pPr>
        <w:pStyle w:val="21"/>
        <w:spacing w:line="360" w:lineRule="auto"/>
        <w:ind w:firstLine="284"/>
      </w:pPr>
      <w:r>
        <w:t xml:space="preserve">Одномандатные избирательные округа определены с допустимым отклонением от средней нормы представительства избирателей не более чем на 10 процентов, а в труднодоступных местностях – не более чем на </w:t>
      </w:r>
      <w:r w:rsidR="005F5BD4">
        <w:t>30</w:t>
      </w:r>
      <w:r>
        <w:t xml:space="preserve"> процентов.</w:t>
      </w:r>
    </w:p>
    <w:p w:rsidR="003C15A5" w:rsidRDefault="003C15A5" w:rsidP="003C15A5">
      <w:pPr>
        <w:pStyle w:val="21"/>
        <w:spacing w:line="360" w:lineRule="auto"/>
        <w:ind w:firstLine="284"/>
      </w:pPr>
      <w:r>
        <w:t>Каждый одномандатный избирательный округ составляет единую территорию. Образование избирательных округов из территорий, не граничащих между собой, не допускается.</w:t>
      </w:r>
    </w:p>
    <w:p w:rsidR="003C15A5" w:rsidRDefault="003C15A5" w:rsidP="003C15A5">
      <w:pPr>
        <w:pStyle w:val="21"/>
        <w:spacing w:line="360" w:lineRule="auto"/>
        <w:ind w:firstLine="284"/>
      </w:pPr>
      <w:r>
        <w:t xml:space="preserve">При </w:t>
      </w:r>
      <w:r w:rsidR="00DB3918">
        <w:t>определении схемы</w:t>
      </w:r>
      <w:r>
        <w:t xml:space="preserve"> округов учитыва</w:t>
      </w:r>
      <w:r w:rsidR="00C62E3C">
        <w:t>лись</w:t>
      </w:r>
      <w:r>
        <w:t xml:space="preserve"> административно-территориальное </w:t>
      </w:r>
      <w:r w:rsidR="00C62E3C">
        <w:t>устройство</w:t>
      </w:r>
      <w:r w:rsidR="00DB3918">
        <w:t xml:space="preserve"> </w:t>
      </w:r>
      <w:r w:rsidR="000C445C">
        <w:t xml:space="preserve">Муезерского </w:t>
      </w:r>
      <w:r>
        <w:t>муниципального</w:t>
      </w:r>
      <w:r w:rsidRPr="00A7416B">
        <w:t xml:space="preserve"> </w:t>
      </w:r>
      <w:r w:rsidR="00DB3918">
        <w:t>округа</w:t>
      </w:r>
      <w:r>
        <w:t>, городская и транспортная инфраструктура, границы населенных пунктов, расположенных на территории муниципального</w:t>
      </w:r>
      <w:r w:rsidRPr="00A7416B">
        <w:t xml:space="preserve"> </w:t>
      </w:r>
      <w:r w:rsidR="00450416">
        <w:t>округа</w:t>
      </w:r>
      <w:r>
        <w:t>.</w:t>
      </w:r>
    </w:p>
    <w:p w:rsidR="00DB3918" w:rsidRDefault="00DB3918" w:rsidP="00DB3918">
      <w:pPr>
        <w:pStyle w:val="aa"/>
        <w:spacing w:line="360" w:lineRule="auto"/>
      </w:pPr>
      <w:r>
        <w:t xml:space="preserve">Описание границ одномандатных избирательных округов составлено на основании сведений об адресах объектов недвижимости, </w:t>
      </w:r>
      <w:r w:rsidR="00450416">
        <w:t xml:space="preserve">расположенных на территории </w:t>
      </w:r>
      <w:r w:rsidR="000C445C">
        <w:t xml:space="preserve">Муезерского </w:t>
      </w:r>
      <w:r w:rsidR="00450416">
        <w:t xml:space="preserve">муниципального округа, </w:t>
      </w:r>
      <w:r>
        <w:t>в которых зарегистрированы, в установленном порядке, избиратели по месту жительства по состоянию на 1 января 202</w:t>
      </w:r>
      <w:r w:rsidR="0087628B">
        <w:t>5</w:t>
      </w:r>
      <w:r>
        <w:t xml:space="preserve"> года.</w:t>
      </w:r>
    </w:p>
    <w:p w:rsidR="00DB3918" w:rsidRDefault="00DB3918" w:rsidP="00DB3918">
      <w:pPr>
        <w:spacing w:line="360" w:lineRule="auto"/>
        <w:ind w:firstLine="360"/>
        <w:jc w:val="both"/>
        <w:rPr>
          <w:sz w:val="28"/>
          <w:szCs w:val="28"/>
        </w:rPr>
      </w:pPr>
      <w:r w:rsidRPr="005266F2">
        <w:rPr>
          <w:sz w:val="28"/>
          <w:szCs w:val="28"/>
        </w:rPr>
        <w:t>Значения численности избирателей, зарегистрированных на территории соответствующего одномандатного избирательного округа по состоянию на 1 января 202</w:t>
      </w:r>
      <w:r w:rsidR="0087628B">
        <w:rPr>
          <w:sz w:val="28"/>
          <w:szCs w:val="28"/>
        </w:rPr>
        <w:t>5</w:t>
      </w:r>
      <w:r w:rsidRPr="005266F2">
        <w:rPr>
          <w:sz w:val="28"/>
          <w:szCs w:val="28"/>
        </w:rPr>
        <w:t xml:space="preserve"> года и величины отклонений средней нормы представительства от числа избирателей в округе, приведены </w:t>
      </w:r>
      <w:r>
        <w:rPr>
          <w:sz w:val="28"/>
          <w:szCs w:val="28"/>
        </w:rPr>
        <w:t>в таблице.</w:t>
      </w:r>
    </w:p>
    <w:p w:rsidR="00B74197" w:rsidRDefault="00B74197">
      <w:pPr>
        <w:widowControl/>
        <w:autoSpaceDE/>
        <w:autoSpaceDN/>
        <w:spacing w:line="360" w:lineRule="auto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DB3918" w:rsidRPr="003041AC" w:rsidRDefault="00DB3918" w:rsidP="00DB3918">
      <w:pPr>
        <w:spacing w:line="360" w:lineRule="auto"/>
        <w:ind w:firstLine="360"/>
        <w:jc w:val="right"/>
        <w:rPr>
          <w:sz w:val="28"/>
          <w:szCs w:val="28"/>
        </w:rPr>
      </w:pPr>
      <w:r>
        <w:rPr>
          <w:sz w:val="28"/>
          <w:szCs w:val="28"/>
        </w:rPr>
        <w:lastRenderedPageBreak/>
        <w:t>Таблица</w:t>
      </w:r>
      <w:r w:rsidR="003041AC">
        <w:rPr>
          <w:sz w:val="28"/>
          <w:szCs w:val="28"/>
        </w:rPr>
        <w:t>.</w:t>
      </w:r>
    </w:p>
    <w:tbl>
      <w:tblPr>
        <w:tblW w:w="9345" w:type="dxa"/>
        <w:jc w:val="center"/>
        <w:tblInd w:w="93" w:type="dxa"/>
        <w:tblLook w:val="04A0"/>
      </w:tblPr>
      <w:tblGrid>
        <w:gridCol w:w="1014"/>
        <w:gridCol w:w="1567"/>
        <w:gridCol w:w="2054"/>
        <w:gridCol w:w="1843"/>
        <w:gridCol w:w="2867"/>
      </w:tblGrid>
      <w:tr w:rsidR="00481DBB" w:rsidRPr="00F97B86" w:rsidTr="001711DD">
        <w:trPr>
          <w:trHeight w:val="818"/>
          <w:jc w:val="center"/>
        </w:trPr>
        <w:tc>
          <w:tcPr>
            <w:tcW w:w="101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BB" w:rsidRPr="00DB3918" w:rsidRDefault="00481DBB" w:rsidP="001711DD">
            <w:pPr>
              <w:jc w:val="center"/>
              <w:rPr>
                <w:bCs/>
                <w:color w:val="000000"/>
              </w:rPr>
            </w:pPr>
            <w:r w:rsidRPr="00DB3918">
              <w:rPr>
                <w:bCs/>
                <w:color w:val="000000"/>
              </w:rPr>
              <w:t>Номер округа</w:t>
            </w:r>
          </w:p>
        </w:tc>
        <w:tc>
          <w:tcPr>
            <w:tcW w:w="15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BB" w:rsidRPr="00DB3918" w:rsidRDefault="00481DBB" w:rsidP="001711DD">
            <w:pPr>
              <w:jc w:val="center"/>
              <w:rPr>
                <w:bCs/>
                <w:color w:val="000000"/>
              </w:rPr>
            </w:pPr>
            <w:r w:rsidRPr="00DB3918">
              <w:rPr>
                <w:bCs/>
                <w:color w:val="000000"/>
              </w:rPr>
              <w:t>Число избирателей в округе</w:t>
            </w:r>
          </w:p>
        </w:tc>
        <w:tc>
          <w:tcPr>
            <w:tcW w:w="2054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BB" w:rsidRPr="00DB3918" w:rsidRDefault="00481DBB" w:rsidP="001711DD">
            <w:pPr>
              <w:jc w:val="center"/>
              <w:rPr>
                <w:bCs/>
                <w:color w:val="000000"/>
              </w:rPr>
            </w:pPr>
            <w:r w:rsidRPr="00DB3918">
              <w:rPr>
                <w:bCs/>
                <w:color w:val="000000"/>
              </w:rPr>
              <w:t>Отклонение от средней нормы (абс.)</w:t>
            </w:r>
          </w:p>
        </w:tc>
        <w:tc>
          <w:tcPr>
            <w:tcW w:w="1843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481DBB" w:rsidRPr="00DB3918" w:rsidRDefault="00481DBB" w:rsidP="001711DD">
            <w:pPr>
              <w:jc w:val="center"/>
              <w:rPr>
                <w:bCs/>
                <w:color w:val="000000"/>
              </w:rPr>
            </w:pPr>
            <w:r w:rsidRPr="00DB3918">
              <w:rPr>
                <w:bCs/>
                <w:color w:val="000000"/>
              </w:rPr>
              <w:t>Отклонение от средней нормы (</w:t>
            </w:r>
            <w:r>
              <w:rPr>
                <w:bCs/>
                <w:color w:val="000000"/>
              </w:rPr>
              <w:t>%</w:t>
            </w:r>
            <w:r w:rsidRPr="00DB3918">
              <w:rPr>
                <w:bCs/>
                <w:color w:val="000000"/>
              </w:rPr>
              <w:t>)</w:t>
            </w:r>
          </w:p>
        </w:tc>
        <w:tc>
          <w:tcPr>
            <w:tcW w:w="2867" w:type="dxa"/>
            <w:tcBorders>
              <w:top w:val="single" w:sz="4" w:space="0" w:color="000000"/>
              <w:left w:val="nil"/>
              <w:bottom w:val="single" w:sz="8" w:space="0" w:color="000000"/>
              <w:right w:val="single" w:sz="4" w:space="0" w:color="000000"/>
            </w:tcBorders>
          </w:tcPr>
          <w:p w:rsidR="00481DBB" w:rsidRPr="00D61C1A" w:rsidRDefault="00481DBB" w:rsidP="001711DD">
            <w:pPr>
              <w:jc w:val="center"/>
              <w:rPr>
                <w:bCs/>
                <w:color w:val="000000"/>
              </w:rPr>
            </w:pPr>
            <w:r w:rsidRPr="00BB2D1C">
              <w:rPr>
                <w:bCs/>
                <w:color w:val="000000"/>
                <w:lang w:eastAsia="ru-RU"/>
              </w:rPr>
              <w:t>%</w:t>
            </w:r>
            <w:r>
              <w:rPr>
                <w:bCs/>
                <w:color w:val="000000"/>
                <w:lang w:eastAsia="ru-RU"/>
              </w:rPr>
              <w:t xml:space="preserve"> </w:t>
            </w:r>
            <w:r w:rsidRPr="00D61C1A">
              <w:rPr>
                <w:bCs/>
                <w:color w:val="000000"/>
                <w:lang w:eastAsia="ru-RU"/>
              </w:rPr>
              <w:t>избирателей от общего числа избирателей в округе, зарегистрированных</w:t>
            </w:r>
            <w:r>
              <w:rPr>
                <w:bCs/>
                <w:color w:val="000000"/>
                <w:lang w:eastAsia="ru-RU"/>
              </w:rPr>
              <w:t xml:space="preserve"> </w:t>
            </w:r>
            <w:r w:rsidRPr="00D61C1A">
              <w:rPr>
                <w:bCs/>
                <w:color w:val="000000"/>
                <w:lang w:eastAsia="ru-RU"/>
              </w:rPr>
              <w:t xml:space="preserve">в населенных пунктах, включенных в Перечень труднодоступных и отдаленных местностей </w:t>
            </w:r>
            <w:r w:rsidRPr="00D61C1A">
              <w:rPr>
                <w:lang w:eastAsia="ru-RU"/>
              </w:rPr>
              <w:t>в Республике Карелия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7752CA"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837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624F5F">
              <w:rPr>
                <w:color w:val="000000"/>
                <w:sz w:val="22"/>
                <w:szCs w:val="22"/>
              </w:rPr>
              <w:t>1,45%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Pr="007752CA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0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7752CA"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772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-53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624F5F">
              <w:rPr>
                <w:color w:val="000000"/>
                <w:sz w:val="22"/>
                <w:szCs w:val="22"/>
              </w:rPr>
              <w:t>-6,42%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Pr="007752CA" w:rsidRDefault="00481DBB" w:rsidP="001711DD">
            <w:pPr>
              <w:jc w:val="center"/>
              <w:rPr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1,68</w:t>
            </w:r>
            <w:r w:rsidRPr="00624F5F">
              <w:rPr>
                <w:color w:val="000000"/>
                <w:sz w:val="22"/>
                <w:szCs w:val="22"/>
              </w:rPr>
              <w:t>%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7752CA">
              <w:rPr>
                <w:color w:val="000000"/>
                <w:sz w:val="22"/>
                <w:szCs w:val="22"/>
              </w:rPr>
              <w:t>3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682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-143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624F5F">
              <w:rPr>
                <w:color w:val="000000"/>
                <w:sz w:val="22"/>
                <w:szCs w:val="22"/>
              </w:rPr>
              <w:t>-17,33%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Default="00481DBB" w:rsidP="001711DD">
            <w:pPr>
              <w:jc w:val="center"/>
            </w:pPr>
            <w:r>
              <w:rPr>
                <w:color w:val="000000"/>
                <w:sz w:val="22"/>
                <w:szCs w:val="22"/>
              </w:rPr>
              <w:t>9</w:t>
            </w:r>
            <w:r w:rsidRPr="00FF4CA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53</w:t>
            </w:r>
            <w:r w:rsidRPr="00FF4CAD">
              <w:rPr>
                <w:color w:val="000000"/>
                <w:sz w:val="22"/>
                <w:szCs w:val="22"/>
              </w:rPr>
              <w:t>%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7752CA"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975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150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624F5F">
              <w:rPr>
                <w:color w:val="000000"/>
                <w:sz w:val="22"/>
                <w:szCs w:val="22"/>
              </w:rPr>
              <w:t>18,18%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Default="00481DBB" w:rsidP="001711DD">
            <w:pPr>
              <w:jc w:val="center"/>
            </w:pPr>
            <w:r w:rsidRPr="00FF4CAD">
              <w:rPr>
                <w:color w:val="000000"/>
                <w:sz w:val="22"/>
                <w:szCs w:val="22"/>
              </w:rPr>
              <w:t>1</w:t>
            </w:r>
            <w:r>
              <w:rPr>
                <w:color w:val="000000"/>
                <w:sz w:val="22"/>
                <w:szCs w:val="22"/>
              </w:rPr>
              <w:t>0</w:t>
            </w:r>
            <w:r w:rsidRPr="00FF4CAD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3</w:t>
            </w:r>
            <w:r w:rsidRPr="00FF4CAD">
              <w:rPr>
                <w:color w:val="000000"/>
                <w:sz w:val="22"/>
                <w:szCs w:val="22"/>
              </w:rPr>
              <w:t>6%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7752CA">
              <w:rPr>
                <w:color w:val="000000"/>
                <w:sz w:val="22"/>
                <w:szCs w:val="22"/>
              </w:rPr>
              <w:t>5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785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-40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624F5F">
              <w:rPr>
                <w:color w:val="000000"/>
                <w:sz w:val="22"/>
                <w:szCs w:val="22"/>
              </w:rPr>
              <w:t>-4,85%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Pr="007752CA" w:rsidRDefault="00481DBB" w:rsidP="001711DD">
            <w:pPr>
              <w:jc w:val="center"/>
              <w:rPr>
                <w:sz w:val="22"/>
                <w:szCs w:val="22"/>
              </w:rPr>
            </w:pPr>
            <w:r w:rsidRPr="00B62964">
              <w:rPr>
                <w:sz w:val="22"/>
                <w:szCs w:val="22"/>
              </w:rPr>
              <w:t>0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B62964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B62964">
              <w:rPr>
                <w:color w:val="000000"/>
                <w:sz w:val="22"/>
                <w:szCs w:val="22"/>
              </w:rPr>
              <w:t>6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DF4129" w:rsidRDefault="00481DBB" w:rsidP="001711DD">
            <w:pPr>
              <w:jc w:val="center"/>
              <w:rPr>
                <w:sz w:val="22"/>
                <w:szCs w:val="22"/>
              </w:rPr>
            </w:pPr>
            <w:r w:rsidRPr="00DF4129">
              <w:rPr>
                <w:sz w:val="22"/>
                <w:szCs w:val="22"/>
              </w:rPr>
              <w:t>818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DF4129" w:rsidRDefault="00481DBB" w:rsidP="001711DD">
            <w:pPr>
              <w:jc w:val="center"/>
              <w:rPr>
                <w:sz w:val="22"/>
                <w:szCs w:val="22"/>
              </w:rPr>
            </w:pPr>
            <w:r w:rsidRPr="00DF4129">
              <w:rPr>
                <w:sz w:val="22"/>
                <w:szCs w:val="22"/>
              </w:rPr>
              <w:t>-7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DF4129" w:rsidRDefault="00481DBB" w:rsidP="001711DD">
            <w:pPr>
              <w:jc w:val="center"/>
              <w:rPr>
                <w:sz w:val="22"/>
                <w:szCs w:val="22"/>
              </w:rPr>
            </w:pPr>
            <w:r w:rsidRPr="00DF4129">
              <w:rPr>
                <w:sz w:val="22"/>
                <w:szCs w:val="22"/>
              </w:rPr>
              <w:t>-0,85%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Pr="00B62964" w:rsidRDefault="00481DBB" w:rsidP="001711DD">
            <w:pPr>
              <w:jc w:val="center"/>
              <w:rPr>
                <w:sz w:val="22"/>
                <w:szCs w:val="22"/>
              </w:rPr>
            </w:pPr>
            <w:r w:rsidRPr="00B62964">
              <w:rPr>
                <w:sz w:val="22"/>
                <w:szCs w:val="22"/>
              </w:rPr>
              <w:t>0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B62964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B62964">
              <w:rPr>
                <w:color w:val="000000"/>
                <w:sz w:val="22"/>
                <w:szCs w:val="22"/>
              </w:rPr>
              <w:t>7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DF4129" w:rsidRDefault="00481DBB" w:rsidP="001711DD">
            <w:pPr>
              <w:jc w:val="center"/>
              <w:rPr>
                <w:sz w:val="22"/>
                <w:szCs w:val="22"/>
              </w:rPr>
            </w:pPr>
            <w:r w:rsidRPr="00DF4129">
              <w:rPr>
                <w:sz w:val="22"/>
                <w:szCs w:val="22"/>
              </w:rPr>
              <w:t>881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DF4129" w:rsidRDefault="00481DBB" w:rsidP="001711DD">
            <w:pPr>
              <w:jc w:val="center"/>
              <w:rPr>
                <w:sz w:val="22"/>
                <w:szCs w:val="22"/>
              </w:rPr>
            </w:pPr>
            <w:r w:rsidRPr="00DF4129">
              <w:rPr>
                <w:sz w:val="22"/>
                <w:szCs w:val="22"/>
              </w:rPr>
              <w:t>56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DF4129" w:rsidRDefault="00481DBB" w:rsidP="001711DD">
            <w:pPr>
              <w:jc w:val="center"/>
              <w:rPr>
                <w:sz w:val="22"/>
                <w:szCs w:val="22"/>
              </w:rPr>
            </w:pPr>
            <w:r w:rsidRPr="00DF4129">
              <w:rPr>
                <w:sz w:val="22"/>
                <w:szCs w:val="22"/>
              </w:rPr>
              <w:t>6,79%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Pr="00B62964" w:rsidRDefault="00481DBB" w:rsidP="001711DD">
            <w:pPr>
              <w:jc w:val="center"/>
              <w:rPr>
                <w:sz w:val="22"/>
                <w:szCs w:val="22"/>
              </w:rPr>
            </w:pPr>
            <w:r w:rsidRPr="00B62964">
              <w:rPr>
                <w:sz w:val="22"/>
                <w:szCs w:val="22"/>
              </w:rPr>
              <w:t>0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B62964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B62964">
              <w:rPr>
                <w:color w:val="000000"/>
                <w:sz w:val="22"/>
                <w:szCs w:val="22"/>
              </w:rPr>
              <w:t>8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DF4129" w:rsidRDefault="00481DBB" w:rsidP="001711DD">
            <w:pPr>
              <w:jc w:val="center"/>
              <w:rPr>
                <w:sz w:val="22"/>
                <w:szCs w:val="22"/>
              </w:rPr>
            </w:pPr>
            <w:r w:rsidRPr="00DF4129">
              <w:rPr>
                <w:sz w:val="22"/>
                <w:szCs w:val="22"/>
              </w:rPr>
              <w:t>845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DF4129" w:rsidRDefault="00481DBB" w:rsidP="001711DD">
            <w:pPr>
              <w:jc w:val="center"/>
              <w:rPr>
                <w:sz w:val="22"/>
                <w:szCs w:val="22"/>
              </w:rPr>
            </w:pPr>
            <w:r w:rsidRPr="00DF4129">
              <w:rPr>
                <w:sz w:val="22"/>
                <w:szCs w:val="22"/>
              </w:rPr>
              <w:t>20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DF4129" w:rsidRDefault="00481DBB" w:rsidP="001711DD">
            <w:pPr>
              <w:jc w:val="center"/>
              <w:rPr>
                <w:sz w:val="22"/>
                <w:szCs w:val="22"/>
              </w:rPr>
            </w:pPr>
            <w:r w:rsidRPr="00DF4129">
              <w:rPr>
                <w:sz w:val="22"/>
                <w:szCs w:val="22"/>
              </w:rPr>
              <w:t>2,42%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Pr="00B62964" w:rsidRDefault="00481DBB" w:rsidP="001711DD">
            <w:pPr>
              <w:jc w:val="center"/>
              <w:rPr>
                <w:sz w:val="22"/>
                <w:szCs w:val="22"/>
              </w:rPr>
            </w:pPr>
            <w:r w:rsidRPr="00B62964">
              <w:rPr>
                <w:sz w:val="22"/>
                <w:szCs w:val="22"/>
              </w:rPr>
              <w:t>0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7752CA">
              <w:rPr>
                <w:color w:val="000000"/>
                <w:sz w:val="22"/>
                <w:szCs w:val="22"/>
              </w:rPr>
              <w:t>9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817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-8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624F5F">
              <w:rPr>
                <w:color w:val="000000"/>
                <w:sz w:val="22"/>
                <w:szCs w:val="22"/>
              </w:rPr>
              <w:t>-0,97%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Pr="007752CA" w:rsidRDefault="00481DBB" w:rsidP="001711DD">
            <w:pPr>
              <w:jc w:val="center"/>
              <w:rPr>
                <w:sz w:val="22"/>
                <w:szCs w:val="22"/>
              </w:rPr>
            </w:pPr>
            <w:r w:rsidRPr="007752CA">
              <w:rPr>
                <w:color w:val="000000"/>
                <w:sz w:val="22"/>
                <w:szCs w:val="22"/>
              </w:rPr>
              <w:t>0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7752CA">
              <w:rPr>
                <w:color w:val="000000"/>
                <w:sz w:val="22"/>
                <w:szCs w:val="22"/>
              </w:rPr>
              <w:t>10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867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42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624F5F">
              <w:rPr>
                <w:color w:val="000000"/>
                <w:sz w:val="22"/>
                <w:szCs w:val="22"/>
              </w:rPr>
              <w:t>5,09%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Pr="007752CA" w:rsidRDefault="00481DBB" w:rsidP="001711DD">
            <w:pPr>
              <w:jc w:val="center"/>
              <w:rPr>
                <w:sz w:val="22"/>
                <w:szCs w:val="22"/>
              </w:rPr>
            </w:pPr>
            <w:r w:rsidRPr="007752CA">
              <w:rPr>
                <w:color w:val="000000"/>
                <w:sz w:val="22"/>
                <w:szCs w:val="22"/>
              </w:rPr>
              <w:t>0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7752CA">
              <w:rPr>
                <w:color w:val="000000"/>
                <w:sz w:val="22"/>
                <w:szCs w:val="22"/>
              </w:rPr>
              <w:t>11</w:t>
            </w:r>
          </w:p>
        </w:tc>
        <w:tc>
          <w:tcPr>
            <w:tcW w:w="15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799</w:t>
            </w:r>
          </w:p>
        </w:tc>
        <w:tc>
          <w:tcPr>
            <w:tcW w:w="205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sz w:val="22"/>
                <w:szCs w:val="22"/>
              </w:rPr>
            </w:pPr>
            <w:r w:rsidRPr="00624F5F">
              <w:rPr>
                <w:sz w:val="22"/>
                <w:szCs w:val="22"/>
              </w:rPr>
              <w:t>-26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624F5F" w:rsidRDefault="00481DBB" w:rsidP="001711DD">
            <w:pPr>
              <w:jc w:val="center"/>
              <w:rPr>
                <w:color w:val="000000"/>
                <w:sz w:val="22"/>
                <w:szCs w:val="22"/>
              </w:rPr>
            </w:pPr>
            <w:r w:rsidRPr="00624F5F">
              <w:rPr>
                <w:color w:val="000000"/>
                <w:sz w:val="22"/>
                <w:szCs w:val="22"/>
              </w:rPr>
              <w:t>-3,15%</w:t>
            </w:r>
          </w:p>
        </w:tc>
        <w:tc>
          <w:tcPr>
            <w:tcW w:w="2867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Pr="007752CA" w:rsidRDefault="00481DBB" w:rsidP="001711DD">
            <w:pPr>
              <w:jc w:val="center"/>
              <w:rPr>
                <w:sz w:val="22"/>
                <w:szCs w:val="22"/>
              </w:rPr>
            </w:pPr>
            <w:r w:rsidRPr="007752CA">
              <w:rPr>
                <w:color w:val="000000"/>
                <w:sz w:val="22"/>
                <w:szCs w:val="22"/>
              </w:rPr>
              <w:t>0</w:t>
            </w:r>
          </w:p>
        </w:tc>
      </w:tr>
      <w:tr w:rsidR="00481DBB" w:rsidRPr="00F97B86" w:rsidTr="001711DD">
        <w:trPr>
          <w:trHeight w:val="255"/>
          <w:jc w:val="center"/>
        </w:trPr>
        <w:tc>
          <w:tcPr>
            <w:tcW w:w="1014" w:type="dxa"/>
            <w:tcBorders>
              <w:top w:val="double" w:sz="6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jc w:val="right"/>
              <w:rPr>
                <w:bCs/>
                <w:color w:val="000000"/>
                <w:sz w:val="22"/>
                <w:szCs w:val="22"/>
              </w:rPr>
            </w:pPr>
            <w:r w:rsidRPr="007752CA">
              <w:rPr>
                <w:bCs/>
                <w:color w:val="000000"/>
                <w:sz w:val="22"/>
                <w:szCs w:val="22"/>
              </w:rPr>
              <w:t>Итого:</w:t>
            </w:r>
          </w:p>
        </w:tc>
        <w:tc>
          <w:tcPr>
            <w:tcW w:w="1567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jc w:val="center"/>
              <w:rPr>
                <w:bCs/>
                <w:color w:val="000000"/>
                <w:sz w:val="22"/>
                <w:szCs w:val="22"/>
              </w:rPr>
            </w:pPr>
            <w:r>
              <w:rPr>
                <w:bCs/>
                <w:color w:val="000000"/>
                <w:sz w:val="22"/>
                <w:szCs w:val="22"/>
              </w:rPr>
              <w:t>9078</w:t>
            </w:r>
          </w:p>
        </w:tc>
        <w:tc>
          <w:tcPr>
            <w:tcW w:w="2054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481DBB" w:rsidRPr="007752CA" w:rsidRDefault="00481DBB" w:rsidP="001711D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2867" w:type="dxa"/>
            <w:tcBorders>
              <w:top w:val="double" w:sz="6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481DBB" w:rsidRPr="007752CA" w:rsidRDefault="00481DBB" w:rsidP="001711DD">
            <w:pPr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</w:tbl>
    <w:p w:rsidR="00DB3918" w:rsidRDefault="00DB3918" w:rsidP="000C2773">
      <w:pPr>
        <w:spacing w:line="360" w:lineRule="auto"/>
        <w:ind w:firstLine="426"/>
        <w:jc w:val="both"/>
        <w:rPr>
          <w:sz w:val="28"/>
        </w:rPr>
      </w:pPr>
    </w:p>
    <w:p w:rsidR="00555467" w:rsidRPr="003041AC" w:rsidRDefault="00555467" w:rsidP="000C2773">
      <w:pPr>
        <w:spacing w:line="360" w:lineRule="auto"/>
        <w:ind w:firstLine="426"/>
        <w:jc w:val="both"/>
        <w:rPr>
          <w:sz w:val="28"/>
          <w:szCs w:val="28"/>
        </w:rPr>
      </w:pPr>
      <w:r w:rsidRPr="003041AC">
        <w:rPr>
          <w:sz w:val="28"/>
          <w:szCs w:val="28"/>
        </w:rPr>
        <w:t xml:space="preserve">В границах одномандатного избирательного </w:t>
      </w:r>
      <w:r w:rsidR="00481DBB">
        <w:rPr>
          <w:sz w:val="28"/>
          <w:szCs w:val="28"/>
        </w:rPr>
        <w:t>округов №2, №3 и №4</w:t>
      </w:r>
      <w:r w:rsidR="00481DBB" w:rsidRPr="00481DBB">
        <w:rPr>
          <w:sz w:val="28"/>
          <w:szCs w:val="28"/>
        </w:rPr>
        <w:t xml:space="preserve"> </w:t>
      </w:r>
      <w:r w:rsidRPr="003041AC">
        <w:rPr>
          <w:sz w:val="28"/>
          <w:szCs w:val="28"/>
        </w:rPr>
        <w:t>наход</w:t>
      </w:r>
      <w:r w:rsidR="003041AC">
        <w:rPr>
          <w:sz w:val="28"/>
          <w:szCs w:val="28"/>
        </w:rPr>
        <w:t>я</w:t>
      </w:r>
      <w:r w:rsidRPr="003041AC">
        <w:rPr>
          <w:sz w:val="28"/>
          <w:szCs w:val="28"/>
        </w:rPr>
        <w:t>тся следующие населенные пункты, относящиеся к труднодоступным и отдаленным местностям:</w:t>
      </w:r>
    </w:p>
    <w:p w:rsidR="00481DBB" w:rsidRDefault="00481DBB" w:rsidP="00663E4A">
      <w:p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>поселки</w:t>
      </w:r>
      <w:r w:rsidR="0019054C" w:rsidRPr="003041AC">
        <w:rPr>
          <w:sz w:val="28"/>
          <w:szCs w:val="28"/>
        </w:rPr>
        <w:t xml:space="preserve">: </w:t>
      </w:r>
      <w:r w:rsidRPr="00F11006">
        <w:rPr>
          <w:sz w:val="28"/>
          <w:szCs w:val="28"/>
        </w:rPr>
        <w:t>Кимоваара</w:t>
      </w:r>
      <w:r>
        <w:rPr>
          <w:sz w:val="28"/>
          <w:szCs w:val="28"/>
        </w:rPr>
        <w:t xml:space="preserve">, </w:t>
      </w:r>
      <w:r w:rsidRPr="00F11006">
        <w:rPr>
          <w:sz w:val="28"/>
          <w:szCs w:val="28"/>
        </w:rPr>
        <w:t>Ондозеро</w:t>
      </w:r>
      <w:r>
        <w:rPr>
          <w:sz w:val="28"/>
          <w:szCs w:val="28"/>
        </w:rPr>
        <w:t>;</w:t>
      </w:r>
      <w:r w:rsidR="0019054C" w:rsidRPr="003041AC">
        <w:rPr>
          <w:sz w:val="28"/>
          <w:szCs w:val="28"/>
        </w:rPr>
        <w:t xml:space="preserve"> </w:t>
      </w:r>
    </w:p>
    <w:p w:rsidR="006209C1" w:rsidRPr="00663E4A" w:rsidRDefault="00481DBB" w:rsidP="00663E4A">
      <w:pPr>
        <w:spacing w:line="360" w:lineRule="auto"/>
        <w:ind w:left="42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деревня </w:t>
      </w:r>
      <w:r w:rsidRPr="00F11006">
        <w:rPr>
          <w:sz w:val="28"/>
          <w:szCs w:val="28"/>
        </w:rPr>
        <w:t>Кимасозеро</w:t>
      </w:r>
      <w:r w:rsidR="00663E4A" w:rsidRPr="003041AC">
        <w:rPr>
          <w:sz w:val="28"/>
          <w:szCs w:val="28"/>
        </w:rPr>
        <w:t>.</w:t>
      </w:r>
    </w:p>
    <w:sectPr w:rsidR="006209C1" w:rsidRPr="00663E4A" w:rsidSect="001739AD">
      <w:footerReference w:type="default" r:id="rId8"/>
      <w:pgSz w:w="11907" w:h="16840" w:code="9"/>
      <w:pgMar w:top="851" w:right="851" w:bottom="851" w:left="1418" w:header="283" w:footer="283" w:gutter="0"/>
      <w:cols w:space="709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03B17" w:rsidRDefault="00603B17" w:rsidP="00E244BB">
      <w:r>
        <w:separator/>
      </w:r>
    </w:p>
  </w:endnote>
  <w:endnote w:type="continuationSeparator" w:id="0">
    <w:p w:rsidR="00603B17" w:rsidRDefault="00603B17" w:rsidP="00E244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55467" w:rsidRDefault="0013045D" w:rsidP="00D75F37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555467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DA5ABC">
      <w:rPr>
        <w:rStyle w:val="a9"/>
        <w:noProof/>
      </w:rPr>
      <w:t>1</w:t>
    </w:r>
    <w:r>
      <w:rPr>
        <w:rStyle w:val="a9"/>
      </w:rPr>
      <w:fldChar w:fldCharType="end"/>
    </w:r>
  </w:p>
  <w:p w:rsidR="00555467" w:rsidRDefault="0055546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03B17" w:rsidRDefault="00603B17" w:rsidP="00E244BB">
      <w:r>
        <w:separator/>
      </w:r>
    </w:p>
  </w:footnote>
  <w:footnote w:type="continuationSeparator" w:id="0">
    <w:p w:rsidR="00603B17" w:rsidRDefault="00603B17" w:rsidP="00E244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FC75532"/>
    <w:multiLevelType w:val="hybridMultilevel"/>
    <w:tmpl w:val="997E1630"/>
    <w:lvl w:ilvl="0" w:tplc="6CF8C09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2773"/>
    <w:rsid w:val="000006B8"/>
    <w:rsid w:val="00005C73"/>
    <w:rsid w:val="00013B51"/>
    <w:rsid w:val="00036DA6"/>
    <w:rsid w:val="00037631"/>
    <w:rsid w:val="0004124F"/>
    <w:rsid w:val="00043338"/>
    <w:rsid w:val="00051C87"/>
    <w:rsid w:val="00056D17"/>
    <w:rsid w:val="0006094A"/>
    <w:rsid w:val="00063F27"/>
    <w:rsid w:val="00086914"/>
    <w:rsid w:val="000B7A60"/>
    <w:rsid w:val="000C2773"/>
    <w:rsid w:val="000C445C"/>
    <w:rsid w:val="000D6536"/>
    <w:rsid w:val="000E11DD"/>
    <w:rsid w:val="000F7B81"/>
    <w:rsid w:val="001007CC"/>
    <w:rsid w:val="00127EE4"/>
    <w:rsid w:val="0013045D"/>
    <w:rsid w:val="00143736"/>
    <w:rsid w:val="0014550D"/>
    <w:rsid w:val="001657DF"/>
    <w:rsid w:val="00167C6D"/>
    <w:rsid w:val="00171B1B"/>
    <w:rsid w:val="001739AD"/>
    <w:rsid w:val="00181EF6"/>
    <w:rsid w:val="00185E40"/>
    <w:rsid w:val="0019054C"/>
    <w:rsid w:val="001A22E8"/>
    <w:rsid w:val="001A6D09"/>
    <w:rsid w:val="001E2897"/>
    <w:rsid w:val="001E7061"/>
    <w:rsid w:val="001F5DE0"/>
    <w:rsid w:val="0020484E"/>
    <w:rsid w:val="00205EE3"/>
    <w:rsid w:val="00232269"/>
    <w:rsid w:val="00233AE2"/>
    <w:rsid w:val="00234D99"/>
    <w:rsid w:val="002521B7"/>
    <w:rsid w:val="002530C3"/>
    <w:rsid w:val="002537DE"/>
    <w:rsid w:val="00256421"/>
    <w:rsid w:val="00256F3C"/>
    <w:rsid w:val="002650F0"/>
    <w:rsid w:val="00265856"/>
    <w:rsid w:val="0029218E"/>
    <w:rsid w:val="00292E74"/>
    <w:rsid w:val="002D47C2"/>
    <w:rsid w:val="002D5B86"/>
    <w:rsid w:val="002E3A0F"/>
    <w:rsid w:val="002E580F"/>
    <w:rsid w:val="002E5872"/>
    <w:rsid w:val="003041AC"/>
    <w:rsid w:val="00317114"/>
    <w:rsid w:val="00330398"/>
    <w:rsid w:val="003342F2"/>
    <w:rsid w:val="003436E7"/>
    <w:rsid w:val="00343E17"/>
    <w:rsid w:val="00344179"/>
    <w:rsid w:val="003510E0"/>
    <w:rsid w:val="003755AA"/>
    <w:rsid w:val="00383D1C"/>
    <w:rsid w:val="003B7E3A"/>
    <w:rsid w:val="003C15A5"/>
    <w:rsid w:val="003C61F3"/>
    <w:rsid w:val="003D5791"/>
    <w:rsid w:val="003E2E95"/>
    <w:rsid w:val="003E444F"/>
    <w:rsid w:val="003F0F73"/>
    <w:rsid w:val="003F14F5"/>
    <w:rsid w:val="003F4CB6"/>
    <w:rsid w:val="00403092"/>
    <w:rsid w:val="00403483"/>
    <w:rsid w:val="004109EC"/>
    <w:rsid w:val="00410BEE"/>
    <w:rsid w:val="004200FB"/>
    <w:rsid w:val="00420EA5"/>
    <w:rsid w:val="0043533A"/>
    <w:rsid w:val="00440415"/>
    <w:rsid w:val="004416AC"/>
    <w:rsid w:val="00450416"/>
    <w:rsid w:val="00454B8F"/>
    <w:rsid w:val="00466DEB"/>
    <w:rsid w:val="00471F8F"/>
    <w:rsid w:val="00473AF8"/>
    <w:rsid w:val="00475B14"/>
    <w:rsid w:val="00481442"/>
    <w:rsid w:val="00481DBB"/>
    <w:rsid w:val="00491D95"/>
    <w:rsid w:val="004A0298"/>
    <w:rsid w:val="004A037D"/>
    <w:rsid w:val="004B3D43"/>
    <w:rsid w:val="004B7C02"/>
    <w:rsid w:val="004E47A9"/>
    <w:rsid w:val="004F1923"/>
    <w:rsid w:val="004F35D7"/>
    <w:rsid w:val="004F3B23"/>
    <w:rsid w:val="00545A40"/>
    <w:rsid w:val="00551036"/>
    <w:rsid w:val="00553C80"/>
    <w:rsid w:val="00554214"/>
    <w:rsid w:val="00555467"/>
    <w:rsid w:val="00586422"/>
    <w:rsid w:val="005E0CCB"/>
    <w:rsid w:val="005F5BD4"/>
    <w:rsid w:val="00603B17"/>
    <w:rsid w:val="00605960"/>
    <w:rsid w:val="006062F5"/>
    <w:rsid w:val="006151EB"/>
    <w:rsid w:val="006153F6"/>
    <w:rsid w:val="006209C1"/>
    <w:rsid w:val="00635057"/>
    <w:rsid w:val="0064076D"/>
    <w:rsid w:val="006460A6"/>
    <w:rsid w:val="00663E4A"/>
    <w:rsid w:val="0067465D"/>
    <w:rsid w:val="00677633"/>
    <w:rsid w:val="006778E9"/>
    <w:rsid w:val="006865CB"/>
    <w:rsid w:val="00691545"/>
    <w:rsid w:val="006A4192"/>
    <w:rsid w:val="006A6F52"/>
    <w:rsid w:val="006B7F42"/>
    <w:rsid w:val="006C3EC7"/>
    <w:rsid w:val="006D07C8"/>
    <w:rsid w:val="006D096C"/>
    <w:rsid w:val="006E1F0B"/>
    <w:rsid w:val="006F27F9"/>
    <w:rsid w:val="007007E9"/>
    <w:rsid w:val="007224A3"/>
    <w:rsid w:val="0072407B"/>
    <w:rsid w:val="007262D8"/>
    <w:rsid w:val="00755782"/>
    <w:rsid w:val="00755B9F"/>
    <w:rsid w:val="007752CA"/>
    <w:rsid w:val="0078479F"/>
    <w:rsid w:val="007A0997"/>
    <w:rsid w:val="007B16A9"/>
    <w:rsid w:val="007B3D7D"/>
    <w:rsid w:val="007C2057"/>
    <w:rsid w:val="007F6DA1"/>
    <w:rsid w:val="00805303"/>
    <w:rsid w:val="0081034C"/>
    <w:rsid w:val="00827DE9"/>
    <w:rsid w:val="008301E0"/>
    <w:rsid w:val="00831C5A"/>
    <w:rsid w:val="008334F3"/>
    <w:rsid w:val="00842661"/>
    <w:rsid w:val="00863789"/>
    <w:rsid w:val="00863DBA"/>
    <w:rsid w:val="0087628B"/>
    <w:rsid w:val="008801B6"/>
    <w:rsid w:val="00883D20"/>
    <w:rsid w:val="008A0D57"/>
    <w:rsid w:val="008B22AE"/>
    <w:rsid w:val="008D2025"/>
    <w:rsid w:val="008D2193"/>
    <w:rsid w:val="008E32C3"/>
    <w:rsid w:val="009144E6"/>
    <w:rsid w:val="00915C10"/>
    <w:rsid w:val="00916B8A"/>
    <w:rsid w:val="00927870"/>
    <w:rsid w:val="00937BE1"/>
    <w:rsid w:val="00943CB7"/>
    <w:rsid w:val="0096039F"/>
    <w:rsid w:val="00977110"/>
    <w:rsid w:val="00977128"/>
    <w:rsid w:val="009808B3"/>
    <w:rsid w:val="00985E24"/>
    <w:rsid w:val="00997376"/>
    <w:rsid w:val="009B488C"/>
    <w:rsid w:val="009B4A04"/>
    <w:rsid w:val="009B6CEB"/>
    <w:rsid w:val="009D0B5F"/>
    <w:rsid w:val="009E1F5C"/>
    <w:rsid w:val="009E4C69"/>
    <w:rsid w:val="009F375A"/>
    <w:rsid w:val="00A04D21"/>
    <w:rsid w:val="00A20CE7"/>
    <w:rsid w:val="00A21355"/>
    <w:rsid w:val="00A30E2F"/>
    <w:rsid w:val="00A614FF"/>
    <w:rsid w:val="00A64EEF"/>
    <w:rsid w:val="00A65D7D"/>
    <w:rsid w:val="00A900D7"/>
    <w:rsid w:val="00AA715F"/>
    <w:rsid w:val="00AA7376"/>
    <w:rsid w:val="00AB3E10"/>
    <w:rsid w:val="00AB7D26"/>
    <w:rsid w:val="00AC56C5"/>
    <w:rsid w:val="00AC667E"/>
    <w:rsid w:val="00AE516E"/>
    <w:rsid w:val="00AE70EA"/>
    <w:rsid w:val="00AF65DF"/>
    <w:rsid w:val="00B10B6B"/>
    <w:rsid w:val="00B15D92"/>
    <w:rsid w:val="00B20A94"/>
    <w:rsid w:val="00B36FBA"/>
    <w:rsid w:val="00B42BCC"/>
    <w:rsid w:val="00B73238"/>
    <w:rsid w:val="00B74197"/>
    <w:rsid w:val="00BA19CB"/>
    <w:rsid w:val="00BB05A0"/>
    <w:rsid w:val="00BB2D1C"/>
    <w:rsid w:val="00BC0037"/>
    <w:rsid w:val="00BC25B0"/>
    <w:rsid w:val="00BE5342"/>
    <w:rsid w:val="00C06507"/>
    <w:rsid w:val="00C20246"/>
    <w:rsid w:val="00C308E7"/>
    <w:rsid w:val="00C337E5"/>
    <w:rsid w:val="00C611DE"/>
    <w:rsid w:val="00C62E3C"/>
    <w:rsid w:val="00C70449"/>
    <w:rsid w:val="00C73525"/>
    <w:rsid w:val="00C811D2"/>
    <w:rsid w:val="00C81A22"/>
    <w:rsid w:val="00C9125E"/>
    <w:rsid w:val="00C919BE"/>
    <w:rsid w:val="00CA0A4B"/>
    <w:rsid w:val="00CA1A4A"/>
    <w:rsid w:val="00CB776C"/>
    <w:rsid w:val="00CC69C4"/>
    <w:rsid w:val="00CF288D"/>
    <w:rsid w:val="00D24C4C"/>
    <w:rsid w:val="00D2517C"/>
    <w:rsid w:val="00D257B5"/>
    <w:rsid w:val="00D25A7B"/>
    <w:rsid w:val="00D27C6F"/>
    <w:rsid w:val="00D354D9"/>
    <w:rsid w:val="00D369AF"/>
    <w:rsid w:val="00D378E2"/>
    <w:rsid w:val="00D4392E"/>
    <w:rsid w:val="00D51875"/>
    <w:rsid w:val="00D530BC"/>
    <w:rsid w:val="00D55C3F"/>
    <w:rsid w:val="00D60372"/>
    <w:rsid w:val="00D61C1A"/>
    <w:rsid w:val="00D70C22"/>
    <w:rsid w:val="00D75F37"/>
    <w:rsid w:val="00D77CDA"/>
    <w:rsid w:val="00D864E2"/>
    <w:rsid w:val="00D86B56"/>
    <w:rsid w:val="00DA1407"/>
    <w:rsid w:val="00DA5ABC"/>
    <w:rsid w:val="00DB3918"/>
    <w:rsid w:val="00DD1CC4"/>
    <w:rsid w:val="00DE3E11"/>
    <w:rsid w:val="00DF2829"/>
    <w:rsid w:val="00DF63A8"/>
    <w:rsid w:val="00E244BB"/>
    <w:rsid w:val="00E64D36"/>
    <w:rsid w:val="00E70B35"/>
    <w:rsid w:val="00EA0C0F"/>
    <w:rsid w:val="00EC2454"/>
    <w:rsid w:val="00EC5108"/>
    <w:rsid w:val="00ED1028"/>
    <w:rsid w:val="00ED1B4F"/>
    <w:rsid w:val="00ED47FA"/>
    <w:rsid w:val="00F07541"/>
    <w:rsid w:val="00F40DA4"/>
    <w:rsid w:val="00F416E7"/>
    <w:rsid w:val="00F4361A"/>
    <w:rsid w:val="00F43780"/>
    <w:rsid w:val="00F61441"/>
    <w:rsid w:val="00F73C2E"/>
    <w:rsid w:val="00F82ECE"/>
    <w:rsid w:val="00FA7253"/>
    <w:rsid w:val="00FD3BE0"/>
    <w:rsid w:val="00FD63A5"/>
    <w:rsid w:val="00FD70E5"/>
    <w:rsid w:val="00FD7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line="360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773"/>
    <w:pPr>
      <w:widowControl w:val="0"/>
      <w:autoSpaceDE w:val="0"/>
      <w:autoSpaceDN w:val="0"/>
      <w:spacing w:line="240" w:lineRule="auto"/>
    </w:pPr>
    <w:rPr>
      <w:rFonts w:eastAsia="Times New Roman" w:cs="Times New Roman"/>
      <w:sz w:val="20"/>
      <w:szCs w:val="20"/>
    </w:rPr>
  </w:style>
  <w:style w:type="paragraph" w:styleId="1">
    <w:name w:val="heading 1"/>
    <w:basedOn w:val="a"/>
    <w:next w:val="a"/>
    <w:link w:val="10"/>
    <w:qFormat/>
    <w:rsid w:val="000C2773"/>
    <w:pPr>
      <w:keepNext/>
      <w:widowControl/>
      <w:autoSpaceDE/>
      <w:autoSpaceDN/>
      <w:outlineLvl w:val="0"/>
    </w:pPr>
    <w:rPr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0C2773"/>
    <w:pPr>
      <w:widowControl/>
      <w:jc w:val="center"/>
    </w:pPr>
    <w:rPr>
      <w:sz w:val="32"/>
      <w:szCs w:val="32"/>
    </w:rPr>
  </w:style>
  <w:style w:type="character" w:customStyle="1" w:styleId="a4">
    <w:name w:val="Название Знак"/>
    <w:basedOn w:val="a0"/>
    <w:link w:val="a3"/>
    <w:rsid w:val="000C2773"/>
    <w:rPr>
      <w:rFonts w:eastAsia="Times New Roman" w:cs="Times New Roman"/>
      <w:sz w:val="32"/>
      <w:szCs w:val="32"/>
    </w:rPr>
  </w:style>
  <w:style w:type="paragraph" w:styleId="a5">
    <w:name w:val="header"/>
    <w:basedOn w:val="a"/>
    <w:link w:val="a6"/>
    <w:uiPriority w:val="99"/>
    <w:rsid w:val="000C2773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C2773"/>
    <w:rPr>
      <w:rFonts w:eastAsia="Times New Roman" w:cs="Times New Roman"/>
      <w:sz w:val="20"/>
      <w:szCs w:val="20"/>
    </w:rPr>
  </w:style>
  <w:style w:type="paragraph" w:styleId="a7">
    <w:name w:val="footer"/>
    <w:basedOn w:val="a"/>
    <w:link w:val="a8"/>
    <w:uiPriority w:val="99"/>
    <w:rsid w:val="000C2773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C2773"/>
    <w:rPr>
      <w:rFonts w:eastAsia="Times New Roman" w:cs="Times New Roman"/>
      <w:sz w:val="20"/>
      <w:szCs w:val="20"/>
    </w:rPr>
  </w:style>
  <w:style w:type="character" w:styleId="a9">
    <w:name w:val="page number"/>
    <w:basedOn w:val="a0"/>
    <w:uiPriority w:val="99"/>
    <w:rsid w:val="000C2773"/>
    <w:rPr>
      <w:rFonts w:cs="Times New Roman"/>
    </w:rPr>
  </w:style>
  <w:style w:type="paragraph" w:customStyle="1" w:styleId="ConsPlusNormal">
    <w:name w:val="ConsPlusNormal"/>
    <w:rsid w:val="000C2773"/>
    <w:pPr>
      <w:widowControl w:val="0"/>
      <w:autoSpaceDE w:val="0"/>
      <w:autoSpaceDN w:val="0"/>
      <w:adjustRightInd w:val="0"/>
      <w:spacing w:line="240" w:lineRule="auto"/>
    </w:pPr>
    <w:rPr>
      <w:rFonts w:ascii="Arial" w:eastAsia="Times New Roman" w:hAnsi="Arial" w:cs="Arial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0C2773"/>
    <w:rPr>
      <w:rFonts w:eastAsia="Times New Roman" w:cs="Times New Roman"/>
      <w:szCs w:val="24"/>
      <w:lang w:eastAsia="ru-RU"/>
    </w:rPr>
  </w:style>
  <w:style w:type="paragraph" w:styleId="aa">
    <w:name w:val="Body Text Indent"/>
    <w:basedOn w:val="a"/>
    <w:link w:val="ab"/>
    <w:semiHidden/>
    <w:rsid w:val="00FD3BE0"/>
    <w:pPr>
      <w:widowControl/>
      <w:autoSpaceDE/>
      <w:autoSpaceDN/>
      <w:ind w:firstLine="360"/>
      <w:jc w:val="both"/>
    </w:pPr>
    <w:rPr>
      <w:sz w:val="28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semiHidden/>
    <w:rsid w:val="00FD3BE0"/>
    <w:rPr>
      <w:rFonts w:eastAsia="Times New Roman" w:cs="Times New Roman"/>
      <w:szCs w:val="24"/>
      <w:lang w:eastAsia="ru-RU"/>
    </w:rPr>
  </w:style>
  <w:style w:type="paragraph" w:customStyle="1" w:styleId="21">
    <w:name w:val="Основной текст 21"/>
    <w:basedOn w:val="a"/>
    <w:rsid w:val="003C15A5"/>
    <w:pPr>
      <w:widowControl/>
      <w:overflowPunct w:val="0"/>
      <w:adjustRightInd w:val="0"/>
      <w:jc w:val="both"/>
      <w:textAlignment w:val="baseline"/>
    </w:pPr>
    <w:rPr>
      <w:sz w:val="28"/>
      <w:lang w:eastAsia="ru-RU"/>
    </w:rPr>
  </w:style>
  <w:style w:type="paragraph" w:styleId="ac">
    <w:name w:val="List Paragraph"/>
    <w:basedOn w:val="a"/>
    <w:uiPriority w:val="34"/>
    <w:qFormat/>
    <w:rsid w:val="00C811D2"/>
    <w:pPr>
      <w:ind w:left="720"/>
      <w:contextualSpacing/>
    </w:pPr>
  </w:style>
  <w:style w:type="paragraph" w:styleId="ad">
    <w:name w:val="footnote text"/>
    <w:basedOn w:val="a"/>
    <w:link w:val="ae"/>
    <w:uiPriority w:val="99"/>
    <w:semiHidden/>
    <w:unhideWhenUsed/>
    <w:rsid w:val="00ED1028"/>
  </w:style>
  <w:style w:type="character" w:customStyle="1" w:styleId="ae">
    <w:name w:val="Текст сноски Знак"/>
    <w:basedOn w:val="a0"/>
    <w:link w:val="ad"/>
    <w:uiPriority w:val="99"/>
    <w:semiHidden/>
    <w:rsid w:val="00ED1028"/>
    <w:rPr>
      <w:rFonts w:eastAsia="Times New Roman" w:cs="Times New Roman"/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ED1028"/>
    <w:rPr>
      <w:vertAlign w:val="superscript"/>
    </w:rPr>
  </w:style>
  <w:style w:type="table" w:styleId="af0">
    <w:name w:val="Table Grid"/>
    <w:basedOn w:val="a1"/>
    <w:uiPriority w:val="59"/>
    <w:rsid w:val="00D257B5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2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1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9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10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573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29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9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7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96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315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238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37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498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079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2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483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23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24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2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8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18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49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656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71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851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99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855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66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707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313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2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7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475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45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90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1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558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6997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509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1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017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561DAE-F143-422B-BDB3-C0DE9714D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575</Words>
  <Characters>3278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3846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4</cp:revision>
  <cp:lastPrinted>2025-04-11T13:10:00Z</cp:lastPrinted>
  <dcterms:created xsi:type="dcterms:W3CDTF">2025-04-25T11:43:00Z</dcterms:created>
  <dcterms:modified xsi:type="dcterms:W3CDTF">2025-04-25T12:03:00Z</dcterms:modified>
</cp:coreProperties>
</file>