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6BF" w:rsidRDefault="007F16B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Предварительные итоги</w:t>
      </w:r>
    </w:p>
    <w:p w:rsidR="007F16BF" w:rsidRDefault="0050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социально-экономического развития</w:t>
      </w:r>
    </w:p>
    <w:p w:rsidR="007F16BF" w:rsidRDefault="0050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Пенингского сельского поселения за 10 месяцев 2022 года</w:t>
      </w:r>
    </w:p>
    <w:p w:rsidR="007F16BF" w:rsidRDefault="0050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 ожидаемые итоги социально-экономического развития поселения</w:t>
      </w:r>
    </w:p>
    <w:p w:rsidR="007F16BF" w:rsidRDefault="0050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 2022 год.</w:t>
      </w:r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План социально-экономического развития Пенингского сельского поселения на 2022 год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</w:t>
      </w:r>
      <w:r>
        <w:rPr>
          <w:rFonts w:ascii="Times New Roman" w:eastAsia="Times New Roman" w:hAnsi="Times New Roman" w:cs="Times New Roman"/>
          <w:sz w:val="26"/>
        </w:rPr>
        <w:t>законом от 06.10.2003 № 131-ФЗ «Об общих принципах организации местного самоуправления в Российской Федерации», разработан в соответствии с прогнозом социально-экономического развития территории.</w:t>
      </w:r>
      <w:proofErr w:type="gramEnd"/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7F16BF" w:rsidRDefault="0050405B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  <w:u w:val="single"/>
        </w:rPr>
        <w:t>Демографическая ситуация</w:t>
      </w:r>
    </w:p>
    <w:p w:rsidR="007F16BF" w:rsidRDefault="0050405B">
      <w:pPr>
        <w:keepNext/>
        <w:keepLines/>
        <w:spacing w:before="200"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Демографическая ситуация в </w:t>
      </w:r>
      <w:proofErr w:type="spellStart"/>
      <w:r>
        <w:rPr>
          <w:rFonts w:ascii="Times New Roman" w:eastAsia="Times New Roman" w:hAnsi="Times New Roman" w:cs="Times New Roman"/>
          <w:sz w:val="26"/>
        </w:rPr>
        <w:t>Пе</w:t>
      </w:r>
      <w:r>
        <w:rPr>
          <w:rFonts w:ascii="Times New Roman" w:eastAsia="Times New Roman" w:hAnsi="Times New Roman" w:cs="Times New Roman"/>
          <w:sz w:val="26"/>
        </w:rPr>
        <w:t>нингском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сельском поселении развивалась под влиянием сложившейся динамики рождаемости, смертности и миграции населения и характеризуется дальнейшим снижением численности населения, как за </w:t>
      </w:r>
      <w:hyperlink r:id="rId4"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счет</w:t>
        </w:r>
      </w:hyperlink>
      <w:r>
        <w:rPr>
          <w:rFonts w:ascii="Times New Roman" w:eastAsia="Times New Roman" w:hAnsi="Times New Roman" w:cs="Times New Roman"/>
          <w:sz w:val="26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естественной убыли</w:t>
        </w:r>
      </w:hyperlink>
      <w:r>
        <w:rPr>
          <w:rFonts w:ascii="Times New Roman" w:eastAsia="Times New Roman" w:hAnsi="Times New Roman" w:cs="Times New Roman"/>
          <w:sz w:val="26"/>
        </w:rPr>
        <w:t xml:space="preserve"> вследствие превышения показателя смертности над рождаемостью, так и за счет отрицательного баланса в миграционных процессах. В 2022 году численность постоянного населения</w:t>
      </w:r>
      <w:r>
        <w:rPr>
          <w:rFonts w:ascii="Times New Roman" w:eastAsia="Times New Roman" w:hAnsi="Times New Roman" w:cs="Times New Roman"/>
          <w:sz w:val="26"/>
        </w:rPr>
        <w:t xml:space="preserve"> составляла 386 человека, за 10 месяцев 2022 года родилось 0 человек, умерло11 человек. Основными причинами сокращения населения остаются низкая рождаемость вследствие определенных экономических и социально-исторических причин, снижение в последние годы пр</w:t>
      </w:r>
      <w:r>
        <w:rPr>
          <w:rFonts w:ascii="Times New Roman" w:eastAsia="Times New Roman" w:hAnsi="Times New Roman" w:cs="Times New Roman"/>
          <w:sz w:val="26"/>
        </w:rPr>
        <w:t>одолжительности жизни населения, а также миграция населения. Данная ситуация характерна для большинства сел России. Основная причина – экономический застой на селе. Особую тревогу вызывает соотношение численности молодежи и лиц, старше трудоспособного возр</w:t>
      </w:r>
      <w:r>
        <w:rPr>
          <w:rFonts w:ascii="Times New Roman" w:eastAsia="Times New Roman" w:hAnsi="Times New Roman" w:cs="Times New Roman"/>
          <w:sz w:val="26"/>
        </w:rPr>
        <w:t xml:space="preserve">аста. Доля пенсионеров в сельском поселении велика. Такая возрастная структура населения относится к </w:t>
      </w:r>
      <w:hyperlink r:id="rId6"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регрессивному</w:t>
        </w:r>
      </w:hyperlink>
      <w:r>
        <w:rPr>
          <w:rFonts w:ascii="Times New Roman" w:eastAsia="Times New Roman" w:hAnsi="Times New Roman" w:cs="Times New Roman"/>
          <w:sz w:val="26"/>
        </w:rPr>
        <w:t xml:space="preserve"> типу. Для такого типа характерно суженное воспроизводство населения, когда не про</w:t>
      </w:r>
      <w:r>
        <w:rPr>
          <w:rFonts w:ascii="Times New Roman" w:eastAsia="Times New Roman" w:hAnsi="Times New Roman" w:cs="Times New Roman"/>
          <w:sz w:val="26"/>
        </w:rPr>
        <w:t>исходит замены умершего населения вновь родившимися.</w:t>
      </w:r>
    </w:p>
    <w:p w:rsidR="007F16BF" w:rsidRDefault="007F16B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  <w:u w:val="single"/>
        </w:rPr>
        <w:t xml:space="preserve">Бюджетная и налоговая политика </w:t>
      </w:r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Поступление налогов за 10 месяцев 2022 года (тыс</w:t>
      </w:r>
      <w:proofErr w:type="gramStart"/>
      <w:r>
        <w:rPr>
          <w:rFonts w:ascii="Times New Roman" w:eastAsia="Times New Roman" w:hAnsi="Times New Roman" w:cs="Times New Roman"/>
          <w:sz w:val="26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</w:rPr>
        <w:t>уб.)</w:t>
      </w:r>
    </w:p>
    <w:tbl>
      <w:tblPr>
        <w:tblW w:w="0" w:type="auto"/>
        <w:tblInd w:w="86" w:type="dxa"/>
        <w:tblCellMar>
          <w:left w:w="10" w:type="dxa"/>
          <w:right w:w="10" w:type="dxa"/>
        </w:tblCellMar>
        <w:tblLook w:val="0000"/>
      </w:tblPr>
      <w:tblGrid>
        <w:gridCol w:w="4128"/>
        <w:gridCol w:w="2346"/>
        <w:gridCol w:w="1493"/>
        <w:gridCol w:w="1518"/>
      </w:tblGrid>
      <w:tr w:rsidR="007F16B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5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Наименование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Исполнено на 01.11.2022г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ожидаемое исполнение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801"/>
        </w:trPr>
        <w:tc>
          <w:tcPr>
            <w:tcW w:w="650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16BF" w:rsidRDefault="007F16B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16BF" w:rsidRDefault="007F16B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16BF" w:rsidRDefault="007F16B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I. ДОХОДЫ - всего,  в т.ч.: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3 090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3 709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146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Собственные доходы</w:t>
            </w:r>
          </w:p>
        </w:tc>
        <w:tc>
          <w:tcPr>
            <w:tcW w:w="23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 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2 843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3 462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1. Налоговые и неналоговые доходы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в т.ч.: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936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1 174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- налог на доходы физических лиц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32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38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- налог на имущество физических лиц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12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- земельный налог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378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500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lastRenderedPageBreak/>
              <w:t>- акцизы на нефтепродукты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521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624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>Безвозмездные поступления, в т.ч.: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2 154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2 535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2.1. Нецелевые межбюджетные трансферты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1 907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2 288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2.1.1. Дотации на выравнивание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1 907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2 288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2.2. Целевые межбюджетные трансферты</w:t>
            </w:r>
          </w:p>
          <w:p w:rsidR="007F16BF" w:rsidRDefault="007F16BF">
            <w:pPr>
              <w:spacing w:after="0" w:line="240" w:lineRule="auto"/>
            </w:pP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247 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247</w:t>
            </w:r>
          </w:p>
        </w:tc>
      </w:tr>
    </w:tbl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Основным источником собственных доходов является налог на доходы физических лиц и земельный налог.  За счет безвозмездных поступлений значительная часть приходится на дотации. </w:t>
      </w:r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312" w:lineRule="auto"/>
        <w:rPr>
          <w:rFonts w:ascii="Times New Roman" w:eastAsia="Times New Roman" w:hAnsi="Times New Roman" w:cs="Times New Roman"/>
          <w:color w:val="333333"/>
          <w:sz w:val="26"/>
        </w:rPr>
      </w:pPr>
      <w:r>
        <w:rPr>
          <w:rFonts w:ascii="Times New Roman" w:eastAsia="Times New Roman" w:hAnsi="Times New Roman" w:cs="Times New Roman"/>
          <w:color w:val="333333"/>
          <w:sz w:val="26"/>
        </w:rPr>
        <w:t>Расходы бюджета сельского поселения (тыс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</w:rPr>
        <w:t>уб.)</w:t>
      </w:r>
    </w:p>
    <w:tbl>
      <w:tblPr>
        <w:tblW w:w="0" w:type="auto"/>
        <w:tblInd w:w="86" w:type="dxa"/>
        <w:tblCellMar>
          <w:left w:w="10" w:type="dxa"/>
          <w:right w:w="10" w:type="dxa"/>
        </w:tblCellMar>
        <w:tblLook w:val="0000"/>
      </w:tblPr>
      <w:tblGrid>
        <w:gridCol w:w="6474"/>
        <w:gridCol w:w="1493"/>
        <w:gridCol w:w="1518"/>
      </w:tblGrid>
      <w:tr w:rsidR="007F16B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5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Наименование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Исполнено на 01.11.2022г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ожидаемое исполнение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65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16BF" w:rsidRDefault="007F16B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16BF" w:rsidRDefault="007F16B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16BF" w:rsidRDefault="007F16B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6"/>
              </w:rPr>
              <w:t>II. РАСХОДЫ -  всего, в т.ч.: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6"/>
              </w:rPr>
              <w:t>2 773,0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6"/>
              </w:rPr>
              <w:t>3 645,0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6"/>
              </w:rPr>
              <w:t>- за счет целевых МБТ (субвенций, субсидий (кроме субсидий, являющихся источником оплаты труда), иных МБТ)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6"/>
              </w:rPr>
              <w:t>197,0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6"/>
              </w:rPr>
              <w:t>247,0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6"/>
              </w:rPr>
              <w:t xml:space="preserve">- </w:t>
            </w:r>
            <w:r>
              <w:rPr>
                <w:rFonts w:ascii="Arial" w:eastAsia="Arial" w:hAnsi="Arial" w:cs="Arial"/>
                <w:b/>
                <w:sz w:val="26"/>
              </w:rPr>
              <w:t>за счет средств местных бюджетов (включая субсидии, являющиеся источником оплаты труда),</w:t>
            </w:r>
            <w:r>
              <w:rPr>
                <w:rFonts w:ascii="Arial" w:eastAsia="Arial" w:hAnsi="Arial" w:cs="Arial"/>
                <w:b/>
                <w:sz w:val="26"/>
              </w:rPr>
              <w:br/>
              <w:t>в т.ч.: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6"/>
              </w:rPr>
              <w:t>2 576,0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6"/>
              </w:rPr>
              <w:t>3 398,0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1. ФОТ с начислениями (КУ, АУ, БУ), в т.ч.: 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1 352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1 772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2. Оплата коммунальных услуг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256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300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3. Дорожный фонд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421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540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</w:rPr>
              <w:t>Другие расходы по соответствующим направлениям, в т.ч.: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547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786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4.1. Социальное обеспечение и иные выплаты (300)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75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90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4.2. Уплата налогов, сборов и иных платежей (КВР 850)</w:t>
            </w:r>
          </w:p>
        </w:tc>
        <w:tc>
          <w:tcPr>
            <w:tcW w:w="14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18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21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65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4.3. Прочие расходы (за искл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</w:rPr>
              <w:t>тр.5.1-5.8.) - расшифровка прилагается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454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675</w:t>
            </w:r>
          </w:p>
        </w:tc>
      </w:tr>
    </w:tbl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Исполнение по расходам бюджета Пенингского сельского поселения за 10 месяцев:</w:t>
      </w:r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tbl>
      <w:tblPr>
        <w:tblW w:w="0" w:type="auto"/>
        <w:tblInd w:w="86" w:type="dxa"/>
        <w:tblCellMar>
          <w:left w:w="10" w:type="dxa"/>
          <w:right w:w="10" w:type="dxa"/>
        </w:tblCellMar>
        <w:tblLook w:val="0000"/>
      </w:tblPr>
      <w:tblGrid>
        <w:gridCol w:w="3866"/>
        <w:gridCol w:w="2056"/>
        <w:gridCol w:w="2006"/>
        <w:gridCol w:w="1537"/>
      </w:tblGrid>
      <w:tr w:rsidR="007F16BF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Наименование показателя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Код раздела, подраздела бюджетной классификации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Утвержденные бюджетные назначения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Исполнено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3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Расходы бюджета - всего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X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7F16B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7F16B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в том числе: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 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7F16B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7F16B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ОБЩЕГОСУДАРСТВЕННЫЕ </w:t>
            </w:r>
            <w:r>
              <w:rPr>
                <w:rFonts w:ascii="Times New Roman" w:eastAsia="Times New Roman" w:hAnsi="Times New Roman" w:cs="Times New Roman"/>
                <w:sz w:val="26"/>
              </w:rPr>
              <w:lastRenderedPageBreak/>
              <w:t>ВОПРОСЫ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lastRenderedPageBreak/>
              <w:t xml:space="preserve">0100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2 649,24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1 956,60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0102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784,64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640,86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0104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1 263,36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862,60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Резервные фонды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0111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0,00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Другие общегосударственные вопросы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0113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593,24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453,14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НАЦИОНАЛЬНАЯ ОБОРОНА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0200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167,80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125,58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Мобилизационная и вневойсковая подготовка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0203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167,80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125,58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НАЦИОНАЛЬНАЯ ЭКОНОМИКА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0400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540,00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420,74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Дорожное хозяйство (дорожные фонды)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0409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540,00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420,74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ЖИЛИЩНО-КОММУНАЛЬНОЕ ХОЗЯЙСТВО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0500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141,70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139,14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Благоустройство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0503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141,70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139,14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ОБРАЗОВАНИЕ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0700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8,14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8,14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0705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8,14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8,14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СОЦИАЛЬНАЯ ПОЛИТИКА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0 1000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90,00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75,15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Пенсионное обеспечение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1001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90,00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75,15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1400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48,00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48,00</w:t>
            </w:r>
          </w:p>
        </w:tc>
      </w:tr>
      <w:tr w:rsidR="007F16B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16BF" w:rsidRDefault="005040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Прочие межбюджетные трансферты общего характера</w:t>
            </w:r>
          </w:p>
        </w:tc>
        <w:tc>
          <w:tcPr>
            <w:tcW w:w="20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1403 </w:t>
            </w: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48,00</w:t>
            </w:r>
          </w:p>
        </w:tc>
        <w:tc>
          <w:tcPr>
            <w:tcW w:w="153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F16BF" w:rsidRDefault="005040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48,00</w:t>
            </w:r>
          </w:p>
        </w:tc>
      </w:tr>
    </w:tbl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Анализируя бюджет за 10 месяцев 2022 года, можно сделать вывод, что наибольший удельный вес в расходовании бюджета имеют расходы на содержание органов управления.</w:t>
      </w:r>
    </w:p>
    <w:p w:rsidR="007F16BF" w:rsidRDefault="0050405B">
      <w:pPr>
        <w:tabs>
          <w:tab w:val="left" w:pos="7687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  <w:u w:val="single"/>
        </w:rPr>
        <w:t>Муниципальная служба и местное самоуправление</w:t>
      </w: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Численность муниципальных служащих сос</w:t>
      </w:r>
      <w:r>
        <w:rPr>
          <w:rFonts w:ascii="Times New Roman" w:eastAsia="Times New Roman" w:hAnsi="Times New Roman" w:cs="Times New Roman"/>
          <w:sz w:val="26"/>
        </w:rPr>
        <w:t>тавляет 3 единицы.</w:t>
      </w: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За 10 месяцев поступило 0 письменных обращения граждан, выдано 111 справок с </w:t>
      </w:r>
      <w:proofErr w:type="spellStart"/>
      <w:r>
        <w:rPr>
          <w:rFonts w:ascii="Times New Roman" w:eastAsia="Times New Roman" w:hAnsi="Times New Roman" w:cs="Times New Roman"/>
          <w:sz w:val="26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книги, принято 13  постановлений, проведено 5 Собраний депутатов, принято 7 решений Собрания депутатов Пенингского сельского поселения.</w:t>
      </w:r>
    </w:p>
    <w:p w:rsidR="007F16BF" w:rsidRDefault="007F16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Админис</w:t>
      </w:r>
      <w:r>
        <w:rPr>
          <w:rFonts w:ascii="Times New Roman" w:eastAsia="Times New Roman" w:hAnsi="Times New Roman" w:cs="Times New Roman"/>
          <w:sz w:val="26"/>
        </w:rPr>
        <w:t xml:space="preserve">трацией поселения ведется исполнение отдельных государственных полномочий в части ведения воинского учета. Учет граждан, пребывающих в запасе, и граждан, подлежащих призыву на военную службу в </w:t>
      </w:r>
      <w:proofErr w:type="gramStart"/>
      <w:r>
        <w:rPr>
          <w:rFonts w:ascii="Times New Roman" w:eastAsia="Times New Roman" w:hAnsi="Times New Roman" w:cs="Times New Roman"/>
          <w:sz w:val="26"/>
        </w:rPr>
        <w:t>ВС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РФ в администрации организован и ведется в соответствии с тр</w:t>
      </w:r>
      <w:r>
        <w:rPr>
          <w:rFonts w:ascii="Times New Roman" w:eastAsia="Times New Roman" w:hAnsi="Times New Roman" w:cs="Times New Roman"/>
          <w:sz w:val="26"/>
        </w:rPr>
        <w:t>ебованиями закона РФ «О воинской обязанности и военной службе».На воинском учете состоят 83 человека.</w:t>
      </w:r>
    </w:p>
    <w:p w:rsidR="007F16BF" w:rsidRDefault="007F16B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</w:t>
      </w: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Одним из важнейших показателей качества уровня жизни является повышение материального положения населения поселения. В этой связи Администрацией поселения прилагались особые усилия к тому, чтобы позитивные изменения в экономике поселения позитивно сказалис</w:t>
      </w:r>
      <w:r>
        <w:rPr>
          <w:rFonts w:ascii="Times New Roman" w:eastAsia="Times New Roman" w:hAnsi="Times New Roman" w:cs="Times New Roman"/>
          <w:sz w:val="26"/>
        </w:rPr>
        <w:t>ь и на жизни людей, проживающих на территории поселения.</w:t>
      </w:r>
    </w:p>
    <w:p w:rsidR="007F16BF" w:rsidRDefault="005040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    Вместе с тем, на сегодняшний день остается ряд нерешенных проблем, требующих особого внимания, к которым в первую очередь относятся: недостаточность собственной налоговой базы поселения для испол</w:t>
      </w:r>
      <w:r>
        <w:rPr>
          <w:rFonts w:ascii="Times New Roman" w:eastAsia="Times New Roman" w:hAnsi="Times New Roman" w:cs="Times New Roman"/>
          <w:sz w:val="26"/>
        </w:rPr>
        <w:t>нения им полномочий по решению вопросов местного значения и опережающий рост расходных обязательств.</w:t>
      </w:r>
    </w:p>
    <w:p w:rsidR="007F16BF" w:rsidRDefault="007F16BF">
      <w:pPr>
        <w:spacing w:after="0" w:line="240" w:lineRule="auto"/>
        <w:ind w:left="34"/>
        <w:jc w:val="both"/>
        <w:rPr>
          <w:rFonts w:ascii="Times New Roman" w:eastAsia="Times New Roman" w:hAnsi="Times New Roman" w:cs="Times New Roman"/>
          <w:sz w:val="26"/>
        </w:rPr>
      </w:pPr>
    </w:p>
    <w:sectPr w:rsidR="007F1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16BF"/>
    <w:rsid w:val="0050405B"/>
    <w:rsid w:val="007F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regressiya/" TargetMode="External"/><Relationship Id="rId5" Type="http://schemas.openxmlformats.org/officeDocument/2006/relationships/hyperlink" Target="http://pandia.ru/text/category/estestvennaya_ubilmz/" TargetMode="External"/><Relationship Id="rId4" Type="http://schemas.openxmlformats.org/officeDocument/2006/relationships/hyperlink" Target="https://pandia.ru/text/category/schet_no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fo-11</dc:creator>
  <cp:lastModifiedBy>fo-11</cp:lastModifiedBy>
  <cp:revision>2</cp:revision>
  <dcterms:created xsi:type="dcterms:W3CDTF">2022-12-02T07:08:00Z</dcterms:created>
  <dcterms:modified xsi:type="dcterms:W3CDTF">2022-12-02T07:08:00Z</dcterms:modified>
</cp:coreProperties>
</file>